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608B3BF3"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816C03">
        <w:rPr>
          <w:rFonts w:ascii="Arial" w:eastAsia="Calibri" w:hAnsi="Arial" w:cs="Arial"/>
          <w:b/>
          <w:bCs/>
          <w:color w:val="000000" w:themeColor="text1"/>
          <w:sz w:val="20"/>
          <w:szCs w:val="20"/>
        </w:rPr>
        <w:t>6</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F1F4F08"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816C03" w:rsidRPr="008D182A">
        <w:rPr>
          <w:rFonts w:ascii="Arial" w:hAnsi="Arial" w:cs="Arial"/>
          <w:b/>
          <w:color w:val="000000" w:themeColor="text1"/>
          <w:sz w:val="24"/>
          <w:szCs w:val="19"/>
        </w:rPr>
        <w:t xml:space="preserve">7.3. </w:t>
      </w:r>
      <w:r w:rsidR="00816C03" w:rsidRPr="008D182A">
        <w:rPr>
          <w:rFonts w:ascii="Arial" w:hAnsi="Arial" w:cs="Arial"/>
          <w:b/>
          <w:iCs/>
          <w:color w:val="000000" w:themeColor="text1"/>
          <w:sz w:val="24"/>
          <w:szCs w:val="19"/>
        </w:rPr>
        <w:t>Zlepšenie environmentálnych aspektov v mestách a mestských oblastiach</w:t>
      </w:r>
    </w:p>
    <w:tbl>
      <w:tblPr>
        <w:tblStyle w:val="TableGrid2"/>
        <w:tblW w:w="4973" w:type="pct"/>
        <w:tblLook w:val="04A0" w:firstRow="1" w:lastRow="0" w:firstColumn="1" w:lastColumn="0" w:noHBand="0" w:noVBand="1"/>
      </w:tblPr>
      <w:tblGrid>
        <w:gridCol w:w="566"/>
        <w:gridCol w:w="14639"/>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2DC05542"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E5178B">
              <w:rPr>
                <w:rFonts w:ascii="Arial" w:hAnsi="Arial" w:cs="Arial"/>
                <w:color w:val="000000" w:themeColor="text1"/>
                <w:sz w:val="19"/>
                <w:szCs w:val="19"/>
              </w:rPr>
              <w:t>3</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E5178B" w:rsidRPr="00E5178B">
              <w:rPr>
                <w:rFonts w:ascii="Arial" w:hAnsi="Arial" w:cs="Arial"/>
                <w:color w:val="000000" w:themeColor="text1"/>
                <w:sz w:val="19"/>
                <w:szCs w:val="19"/>
              </w:rPr>
              <w:t>Zlepšenie environmentálnych aspektov v mestách a mestských oblastiach</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3A527369"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E5178B">
        <w:rPr>
          <w:rFonts w:ascii="Arial" w:hAnsi="Arial" w:cs="Arial"/>
          <w:b/>
          <w:bCs/>
          <w:color w:val="000000" w:themeColor="text1"/>
          <w:sz w:val="19"/>
          <w:szCs w:val="19"/>
        </w:rPr>
        <w:t>3</w:t>
      </w:r>
      <w:r w:rsidR="00F043AE" w:rsidRPr="008B1F42">
        <w:rPr>
          <w:rFonts w:ascii="Arial" w:hAnsi="Arial" w:cs="Arial"/>
          <w:b/>
          <w:bCs/>
          <w:color w:val="000000" w:themeColor="text1"/>
          <w:sz w:val="19"/>
          <w:szCs w:val="19"/>
        </w:rPr>
        <w:t xml:space="preserve"> </w:t>
      </w:r>
    </w:p>
    <w:p w14:paraId="6E8C17EB" w14:textId="03F8A3A5" w:rsidR="00EA7014" w:rsidRDefault="00621A84" w:rsidP="00216F21">
      <w:pPr>
        <w:spacing w:before="120" w:after="120" w:line="288" w:lineRule="auto"/>
        <w:ind w:left="426"/>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002B5927">
        <w:rPr>
          <w:rFonts w:ascii="Arial" w:hAnsi="Arial" w:cs="Arial"/>
          <w:color w:val="000000" w:themeColor="text1"/>
          <w:sz w:val="19"/>
          <w:szCs w:val="19"/>
        </w:rPr>
        <w:t xml:space="preserve">definovanom </w:t>
      </w:r>
      <w:r w:rsidR="002B5927" w:rsidRPr="00EC7466">
        <w:rPr>
          <w:rFonts w:ascii="Arial" w:hAnsi="Arial" w:cs="Arial"/>
          <w:color w:val="000000" w:themeColor="text1"/>
          <w:sz w:val="19"/>
          <w:szCs w:val="19"/>
        </w:rPr>
        <w:t xml:space="preserve">ako </w:t>
      </w:r>
      <w:r w:rsidR="002B5927" w:rsidRPr="004B5970">
        <w:rPr>
          <w:rFonts w:ascii="Arial" w:hAnsi="Arial" w:cs="Arial"/>
          <w:color w:val="000000" w:themeColor="text1"/>
          <w:sz w:val="19"/>
          <w:szCs w:val="19"/>
        </w:rPr>
        <w:t>zlepšenie kvality života v regiónoch s dôrazom na životné prostredie, ktorými sú podpora prechodu na nízkouhlíkové hospodárstvo vo všetkých sektoroch a ochrana životného prostredia a presadzovania efektívnosti zdrojov a</w:t>
      </w:r>
      <w:r w:rsidR="002B5927" w:rsidRPr="00C8207B">
        <w:rPr>
          <w:rFonts w:ascii="Arial" w:hAnsi="Arial" w:cs="Arial"/>
          <w:color w:val="000000" w:themeColor="text1"/>
          <w:sz w:val="19"/>
          <w:szCs w:val="19"/>
        </w:rPr>
        <w:t> je v súlade so špecifickým cieľom</w:t>
      </w:r>
      <w:r w:rsidR="002B5927">
        <w:rPr>
          <w:rFonts w:ascii="Arial" w:hAnsi="Arial" w:cs="Arial"/>
          <w:color w:val="000000" w:themeColor="text1"/>
          <w:sz w:val="19"/>
          <w:szCs w:val="19"/>
        </w:rPr>
        <w:t xml:space="preserve"> </w:t>
      </w:r>
      <w:r w:rsidR="002B5927">
        <w:rPr>
          <w:rFonts w:ascii="Arial" w:hAnsi="Arial" w:cs="Arial"/>
          <w:color w:val="000000" w:themeColor="text1"/>
          <w:sz w:val="19"/>
          <w:szCs w:val="19"/>
        </w:rPr>
        <w:lastRenderedPageBreak/>
        <w:t>7.3, ktorým je z</w:t>
      </w:r>
      <w:r w:rsidR="002B5927" w:rsidRPr="004971BB">
        <w:rPr>
          <w:rFonts w:ascii="Arial" w:hAnsi="Arial" w:cs="Arial"/>
          <w:color w:val="000000" w:themeColor="text1"/>
          <w:sz w:val="19"/>
          <w:szCs w:val="19"/>
        </w:rPr>
        <w:t>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00EA7014" w:rsidRPr="00EA7014">
        <w:rPr>
          <w:rFonts w:ascii="Arial" w:hAnsi="Arial" w:cs="Arial"/>
          <w:color w:val="000000" w:themeColor="text1"/>
          <w:sz w:val="19"/>
          <w:szCs w:val="19"/>
        </w:rPr>
        <w:t>.</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3D1C6EAE" w:rsidR="00621A84" w:rsidRPr="00FB4F69" w:rsidRDefault="00621A84" w:rsidP="00216F21">
      <w:pPr>
        <w:ind w:left="426"/>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E5178B">
        <w:rPr>
          <w:rFonts w:ascii="Arial" w:hAnsi="Arial" w:cs="Arial"/>
          <w:color w:val="000000" w:themeColor="text1"/>
          <w:sz w:val="19"/>
          <w:szCs w:val="19"/>
        </w:rPr>
        <w:t>3</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E5178B" w:rsidRPr="00E5178B">
        <w:rPr>
          <w:rFonts w:ascii="Arial" w:hAnsi="Arial" w:cs="Arial"/>
          <w:color w:val="000000" w:themeColor="text1"/>
          <w:sz w:val="19"/>
          <w:szCs w:val="19"/>
        </w:rPr>
        <w:t>Zlepšenie environmentálnych aspektov v mestách a mestských oblastiach</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573326B3"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zlepšenie kvality ovzdušia, posilnenie ekologickej stability a zlepšenie sídelného prostredia prostredníctvom vybudovania prvkov zelenej infraštruktúry v mestách a zavádzaním systémových prvkov znižovania znečistenia ovzdušia a hluku,</w:t>
      </w:r>
    </w:p>
    <w:p w14:paraId="6060782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zníženie zraniteľnosti krajiny klimatickými rizikami prostredníctvom adaptačných opatrení,</w:t>
      </w:r>
    </w:p>
    <w:p w14:paraId="6FEEECF9"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budovanie adaptačnej kapacity,</w:t>
      </w:r>
    </w:p>
    <w:p w14:paraId="3C06071D"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zlepšenie kvality života obyvateľov sídlisk prostredníctvom regenerácie vnútroblokov.</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216F21">
      <w:pPr>
        <w:spacing w:before="120" w:after="120" w:line="288" w:lineRule="auto"/>
        <w:ind w:left="284"/>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185E2C30"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opatrenia pre zníženie hluku v urbanizovanom prostredí: protihlukové steny a bariéry, protihluková výsadba, protihlukové izolácie na zdroji  hluku, resp. vibrácií,</w:t>
      </w:r>
    </w:p>
    <w:p w14:paraId="6FD1DAC4"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prirodzené krajinné prvky ako napr. malé vodné plochy a toky, ostrovčeky lesa, živé ploty, mokrade;</w:t>
      </w:r>
    </w:p>
    <w:p w14:paraId="60C28D48"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mestské prvky napr. prvky drobnej infraštruktúry urbánneho dizajnu, zelené parky, zelené steny a zelené strechy;</w:t>
      </w:r>
    </w:p>
    <w:p w14:paraId="22B2FB91"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aktivity v oblasti dopravnej infraštruktúry: zelené koridory pozdĺž cyklotrás, tzv. greenways (aleje, živé ploty, remízky) v súvislosti s podporou biodiverzity, zelené steny na protihlukových stenách, vegetačné stredové pásy;</w:t>
      </w:r>
    </w:p>
    <w:p w14:paraId="4769BF8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zazelenanie miest (výsadba a regenerácia izolačnej zelene oddeľujúcej obytnú zástavbu od priemyselných stavieb, komerčných areálov alebo frekventovaných dopravných koridorov);</w:t>
      </w:r>
    </w:p>
    <w:p w14:paraId="3EE6177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zavedenie osobitných zberných systémov na odpadovú a dažďovú vodu – zachytávanie dažďových vôdformou zaústenia strešných a terasových zvodov do povrchového odtokového systému na zber dažďovej vody a odvádzať zachytenú vodu do vsaku a zberných jazierok, dažďových záhrad, zriaďovanie vegetačných striech;</w:t>
      </w:r>
    </w:p>
    <w:p w14:paraId="1C1F9750"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budovanie dažďových nádrží a predčisťovanie dažďových vôd, ochladzovacie koridory v urbanizovanom prostredí;</w:t>
      </w:r>
    </w:p>
    <w:p w14:paraId="3D62B658" w14:textId="4AFBE0F5" w:rsidR="008B1F42" w:rsidRPr="002B5927" w:rsidRDefault="002B5927" w:rsidP="00D85FA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regenerácia vnútroblokov sídlisk s uplatnením ekologických princípov tvorby a ochrany zelene.</w:t>
      </w:r>
      <w:r w:rsidR="008B1F42" w:rsidRPr="002B5927">
        <w:rPr>
          <w:rFonts w:ascii="Arial" w:eastAsiaTheme="minorHAnsi" w:hAnsi="Arial" w:cs="Arial"/>
          <w:color w:val="000000" w:themeColor="text1"/>
          <w:sz w:val="19"/>
          <w:szCs w:val="19"/>
          <w:lang w:val="sk-SK" w:bidi="ar-SA"/>
        </w:rPr>
        <w:t xml:space="preserve">; </w:t>
      </w:r>
    </w:p>
    <w:p w14:paraId="052F09FF" w14:textId="4CD3B314"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2B5927">
        <w:rPr>
          <w:rFonts w:ascii="Arial" w:hAnsi="Arial" w:cs="Arial"/>
          <w:b/>
          <w:bCs/>
          <w:color w:val="000000" w:themeColor="text1"/>
          <w:sz w:val="19"/>
          <w:szCs w:val="19"/>
        </w:rPr>
        <w:t>3</w:t>
      </w:r>
      <w:r w:rsidR="008B1F42" w:rsidRPr="00FB4F69">
        <w:rPr>
          <w:rFonts w:ascii="Arial" w:hAnsi="Arial" w:cs="Arial"/>
          <w:b/>
          <w:bCs/>
          <w:color w:val="000000" w:themeColor="text1"/>
          <w:sz w:val="19"/>
          <w:szCs w:val="19"/>
        </w:rPr>
        <w:t>.</w:t>
      </w:r>
    </w:p>
    <w:p w14:paraId="789F230C" w14:textId="2BCFF66B" w:rsidR="00621A84" w:rsidRPr="00FB4F69" w:rsidRDefault="00621A84" w:rsidP="00216F21">
      <w:pPr>
        <w:pStyle w:val="Odsekzoznamu"/>
        <w:spacing w:before="120" w:after="120" w:line="288" w:lineRule="auto"/>
        <w:ind w:left="426"/>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01B84DA4" w14:textId="77777777" w:rsidR="002B5927" w:rsidRPr="00B80C91" w:rsidRDefault="002B5927" w:rsidP="002B5927">
      <w:pPr>
        <w:pStyle w:val="Odsekzoznamu"/>
        <w:numPr>
          <w:ilvl w:val="0"/>
          <w:numId w:val="49"/>
        </w:numPr>
        <w:spacing w:after="0" w:line="288" w:lineRule="auto"/>
        <w:ind w:left="1134"/>
        <w:contextualSpacing w:val="0"/>
        <w:jc w:val="both"/>
        <w:rPr>
          <w:rFonts w:ascii="Arial" w:eastAsiaTheme="minorHAnsi" w:hAnsi="Arial" w:cs="Arial"/>
          <w:color w:val="000000" w:themeColor="text1"/>
          <w:sz w:val="19"/>
          <w:szCs w:val="19"/>
          <w:lang w:val="sk-SK"/>
        </w:rPr>
      </w:pPr>
      <w:r w:rsidRPr="00B80C91">
        <w:rPr>
          <w:rFonts w:ascii="Arial" w:eastAsiaTheme="minorHAnsi" w:hAnsi="Arial" w:cs="Arial"/>
          <w:color w:val="000000" w:themeColor="text1"/>
          <w:sz w:val="19"/>
          <w:szCs w:val="19"/>
          <w:lang w:val="sk-SK"/>
        </w:rPr>
        <w:t>projekty výsadby a regenerácie izolačnej zelene na iných miestach ako pre tento účel vymedzených v platnej územnoplánovacej dokumentácii (v platnom územnom pláne) nie sú oprávnené,</w:t>
      </w:r>
    </w:p>
    <w:p w14:paraId="5EF03C67" w14:textId="77777777" w:rsidR="002B5927" w:rsidRPr="00B80C91" w:rsidRDefault="002B5927" w:rsidP="002B5927">
      <w:pPr>
        <w:pStyle w:val="Odsekzoznamu"/>
        <w:numPr>
          <w:ilvl w:val="0"/>
          <w:numId w:val="49"/>
        </w:numPr>
        <w:spacing w:after="0" w:line="288" w:lineRule="auto"/>
        <w:ind w:left="1134"/>
        <w:contextualSpacing w:val="0"/>
        <w:jc w:val="both"/>
        <w:rPr>
          <w:rFonts w:ascii="Arial" w:eastAsiaTheme="minorHAnsi" w:hAnsi="Arial" w:cs="Arial"/>
          <w:color w:val="000000" w:themeColor="text1"/>
          <w:sz w:val="19"/>
          <w:szCs w:val="19"/>
          <w:lang w:val="sk-SK"/>
        </w:rPr>
      </w:pPr>
      <w:r w:rsidRPr="00B80C91">
        <w:rPr>
          <w:rFonts w:ascii="Arial" w:eastAsiaTheme="minorHAnsi" w:hAnsi="Arial" w:cs="Arial"/>
          <w:color w:val="000000" w:themeColor="text1"/>
          <w:sz w:val="19"/>
          <w:szCs w:val="19"/>
          <w:lang w:val="sk-SK"/>
        </w:rPr>
        <w:t>projekt zohľadňuje výber správnej vegetácie ako i problém nakladania s dažďovými vodami a zároveň mať merateľné dopady na zníženie hlukového a prachového zaťaženia obyvateľstva.</w:t>
      </w:r>
    </w:p>
    <w:p w14:paraId="52D83B36" w14:textId="77777777" w:rsidR="002B5927" w:rsidRPr="002B5927" w:rsidRDefault="002B5927" w:rsidP="002B5927">
      <w:pPr>
        <w:spacing w:after="0" w:line="288" w:lineRule="auto"/>
        <w:jc w:val="both"/>
        <w:rPr>
          <w:rFonts w:ascii="Arial" w:hAnsi="Arial" w:cs="Arial"/>
          <w:color w:val="000000" w:themeColor="text1"/>
          <w:sz w:val="19"/>
          <w:szCs w:val="19"/>
        </w:rPr>
      </w:pPr>
    </w:p>
    <w:p w14:paraId="0262ADA0" w14:textId="77777777" w:rsidR="002B5927" w:rsidRPr="002B5927" w:rsidRDefault="002B5927" w:rsidP="002B5927">
      <w:pPr>
        <w:spacing w:after="0" w:line="288" w:lineRule="auto"/>
        <w:jc w:val="both"/>
        <w:rPr>
          <w:rFonts w:ascii="Arial" w:hAnsi="Arial" w:cs="Arial"/>
          <w:color w:val="000000" w:themeColor="text1"/>
          <w:sz w:val="19"/>
          <w:szCs w:val="19"/>
        </w:rPr>
      </w:pPr>
      <w:r w:rsidRPr="002B5927">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25682E55" w14:textId="13DC3825" w:rsidR="00BE7BB7" w:rsidRDefault="005B5940" w:rsidP="00BE7BB7">
      <w:pPr>
        <w:spacing w:before="120" w:after="120"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lastRenderedPageBreak/>
        <w:tab/>
      </w:r>
    </w:p>
    <w:tbl>
      <w:tblPr>
        <w:tblStyle w:val="TableGrid2"/>
        <w:tblW w:w="4973" w:type="pct"/>
        <w:tblLook w:val="04A0" w:firstRow="1" w:lastRow="0" w:firstColumn="1" w:lastColumn="0" w:noHBand="0" w:noVBand="1"/>
      </w:tblPr>
      <w:tblGrid>
        <w:gridCol w:w="578"/>
        <w:gridCol w:w="14627"/>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kvalitatívna úroveň a využiteľnosť výstupov projektu, účinnosť a logická previazanosť aktivít projektu, chronologická </w:t>
            </w:r>
            <w:r w:rsidRPr="00F93B3F">
              <w:rPr>
                <w:rFonts w:ascii="Arial" w:hAnsi="Arial" w:cs="Arial"/>
                <w:color w:val="000000" w:themeColor="text1"/>
                <w:sz w:val="19"/>
                <w:szCs w:val="19"/>
              </w:rPr>
              <w:lastRenderedPageBreak/>
              <w:t>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lastRenderedPageBreak/>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78"/>
        <w:gridCol w:w="14627"/>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lastRenderedPageBreak/>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99"/>
        <w:gridCol w:w="14606"/>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lastRenderedPageBreak/>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lastRenderedPageBreak/>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lastRenderedPageBreak/>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w:t>
            </w:r>
            <w:r w:rsidRPr="00E60372">
              <w:rPr>
                <w:rFonts w:ascii="Arial" w:hAnsi="Arial" w:cs="Arial"/>
                <w:color w:val="000000" w:themeColor="text1"/>
                <w:sz w:val="19"/>
                <w:szCs w:val="19"/>
                <w:u w:color="000000"/>
              </w:rPr>
              <w:lastRenderedPageBreak/>
              <w:t>na základe ukazovateľa likvidity a ukazovateľa zadlženosti, v prípade súkromného sektora na základe modelu hodnotenia firmy, napr. Altmanov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w:t>
            </w:r>
            <w:r w:rsidRPr="00E60372">
              <w:rPr>
                <w:rFonts w:ascii="Arial" w:eastAsia="Helvetica" w:hAnsi="Arial" w:cs="Arial"/>
                <w:color w:val="000000" w:themeColor="text1"/>
                <w:sz w:val="19"/>
                <w:szCs w:val="19"/>
              </w:rPr>
              <w:lastRenderedPageBreak/>
              <w:t xml:space="preserve">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95DBFA7"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lastRenderedPageBreak/>
        <w:t>Hodnotiteľ posudzuje najmä informácie uvedené v častiach ŽoNFP: príloha Index finančnej situácie žiadateľa</w:t>
      </w:r>
      <w:r w:rsidR="001D4456">
        <w:rPr>
          <w:rFonts w:ascii="Arial" w:hAnsi="Arial" w:cs="Arial"/>
          <w:color w:val="000000" w:themeColor="text1"/>
          <w:sz w:val="19"/>
          <w:szCs w:val="19"/>
        </w:rPr>
        <w:t xml:space="preserve"> a príloha </w:t>
      </w:r>
      <w:r w:rsidR="001D4456"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1F232B78" w14:textId="1E726A1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B80C91">
        <w:rPr>
          <w:rFonts w:ascii="Arial" w:eastAsiaTheme="minorHAnsi" w:hAnsi="Arial" w:cs="Arial"/>
          <w:color w:val="000000" w:themeColor="text1"/>
          <w:sz w:val="19"/>
          <w:szCs w:val="19"/>
          <w:bdr w:val="none" w:sz="0" w:space="0" w:color="auto"/>
          <w:lang w:val="sk-SK"/>
        </w:rPr>
        <w:t xml:space="preserve">príloha </w:t>
      </w:r>
      <w:r w:rsidR="001D4456"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Hodnotiteľ vyhodnotí túto časť kritéria ako „nie“ pokiaľ Altmanov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5887CB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63D6F01C" w14:textId="77777777" w:rsidR="00816C03" w:rsidRDefault="00816C03" w:rsidP="00816C03">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FDE5861" w14:textId="77777777" w:rsidR="00816C03" w:rsidRDefault="00816C03"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p>
    <w:p w14:paraId="117238BB" w14:textId="47C65CA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 xml:space="preserve">Posudzuje sa miera správnosti rozpočtu projektu z pohľadu vecnej oprávnenosti (obsahová </w:t>
            </w:r>
            <w:r w:rsidRPr="00E60372">
              <w:rPr>
                <w:rFonts w:ascii="Arial" w:eastAsia="Helvetica" w:hAnsi="Arial" w:cs="Arial"/>
                <w:color w:val="000000" w:themeColor="text1"/>
                <w:sz w:val="19"/>
                <w:szCs w:val="19"/>
              </w:rPr>
              <w:lastRenderedPageBreak/>
              <w:t>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lastRenderedPageBreak/>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w:t>
      </w:r>
      <w:r w:rsidRPr="003C6DE1">
        <w:rPr>
          <w:rFonts w:ascii="Arial" w:eastAsiaTheme="minorHAnsi" w:hAnsi="Arial" w:cs="Arial"/>
          <w:color w:val="000000" w:themeColor="text1"/>
          <w:sz w:val="19"/>
          <w:szCs w:val="19"/>
          <w:bdr w:val="none" w:sz="0" w:space="0" w:color="auto"/>
          <w:lang w:val="sk-SK"/>
        </w:rPr>
        <w:lastRenderedPageBreak/>
        <w:t>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2B5927">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8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D9898" w14:textId="77777777" w:rsidR="00C26401" w:rsidRDefault="00C26401">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6D674BBA" w:rsidR="008B1F42" w:rsidRDefault="009F59B5" w:rsidP="009F59B5">
        <w:pPr>
          <w:pStyle w:val="Pta"/>
        </w:pPr>
        <w:r w:rsidRPr="00BE7612">
          <w:rPr>
            <w:rFonts w:ascii="Arial" w:hAnsi="Arial" w:cs="Arial"/>
            <w:sz w:val="16"/>
            <w:szCs w:val="16"/>
          </w:rPr>
          <w:t xml:space="preserve">Príručka pre odborných hodnotiteľov IROP, verzia </w:t>
        </w:r>
        <w:r w:rsidR="00E35DE2">
          <w:rPr>
            <w:rFonts w:ascii="Arial" w:hAnsi="Arial" w:cs="Arial"/>
            <w:sz w:val="16"/>
            <w:szCs w:val="16"/>
          </w:rPr>
          <w:t>13.</w:t>
        </w:r>
        <w:r w:rsidR="000B53E9">
          <w:rPr>
            <w:rFonts w:ascii="Arial" w:hAnsi="Arial" w:cs="Arial"/>
            <w:sz w:val="16"/>
            <w:szCs w:val="16"/>
          </w:rPr>
          <w:t>1</w:t>
        </w:r>
      </w:p>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E4956" w14:textId="77777777" w:rsidR="00C26401" w:rsidRDefault="00C26401">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4FE3" w14:textId="77777777" w:rsidR="00C26401" w:rsidRDefault="00C26401">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3" name="Obrázok 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4021966"/>
    <w:multiLevelType w:val="hybridMultilevel"/>
    <w:tmpl w:val="11E60112"/>
    <w:lvl w:ilvl="0" w:tplc="EA6CC044">
      <w:numFmt w:val="bullet"/>
      <w:lvlText w:val="-"/>
      <w:lvlJc w:val="left"/>
      <w:pPr>
        <w:ind w:left="720" w:hanging="360"/>
      </w:pPr>
      <w:rPr>
        <w:rFonts w:ascii="Times New Roman" w:eastAsia="Trebuchet MS"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0"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1"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0"/>
  </w:num>
  <w:num w:numId="4">
    <w:abstractNumId w:val="42"/>
  </w:num>
  <w:num w:numId="5">
    <w:abstractNumId w:val="43"/>
  </w:num>
  <w:num w:numId="6">
    <w:abstractNumId w:val="11"/>
  </w:num>
  <w:num w:numId="7">
    <w:abstractNumId w:val="39"/>
  </w:num>
  <w:num w:numId="8">
    <w:abstractNumId w:val="15"/>
  </w:num>
  <w:num w:numId="9">
    <w:abstractNumId w:val="16"/>
  </w:num>
  <w:num w:numId="10">
    <w:abstractNumId w:val="7"/>
  </w:num>
  <w:num w:numId="11">
    <w:abstractNumId w:val="23"/>
  </w:num>
  <w:num w:numId="12">
    <w:abstractNumId w:val="19"/>
  </w:num>
  <w:num w:numId="13">
    <w:abstractNumId w:val="38"/>
  </w:num>
  <w:num w:numId="14">
    <w:abstractNumId w:val="29"/>
  </w:num>
  <w:num w:numId="15">
    <w:abstractNumId w:val="18"/>
  </w:num>
  <w:num w:numId="16">
    <w:abstractNumId w:val="13"/>
  </w:num>
  <w:num w:numId="17">
    <w:abstractNumId w:val="26"/>
  </w:num>
  <w:num w:numId="18">
    <w:abstractNumId w:val="41"/>
  </w:num>
  <w:num w:numId="19">
    <w:abstractNumId w:val="34"/>
  </w:num>
  <w:num w:numId="20">
    <w:abstractNumId w:val="5"/>
  </w:num>
  <w:num w:numId="21">
    <w:abstractNumId w:val="3"/>
  </w:num>
  <w:num w:numId="22">
    <w:abstractNumId w:val="45"/>
  </w:num>
  <w:num w:numId="23">
    <w:abstractNumId w:val="9"/>
  </w:num>
  <w:num w:numId="24">
    <w:abstractNumId w:val="45"/>
  </w:num>
  <w:num w:numId="25">
    <w:abstractNumId w:val="3"/>
  </w:num>
  <w:num w:numId="26">
    <w:abstractNumId w:val="9"/>
  </w:num>
  <w:num w:numId="27">
    <w:abstractNumId w:val="8"/>
  </w:num>
  <w:num w:numId="28">
    <w:abstractNumId w:val="36"/>
  </w:num>
  <w:num w:numId="29">
    <w:abstractNumId w:val="33"/>
  </w:num>
  <w:num w:numId="30">
    <w:abstractNumId w:val="44"/>
  </w:num>
  <w:num w:numId="31">
    <w:abstractNumId w:val="30"/>
  </w:num>
  <w:num w:numId="32">
    <w:abstractNumId w:val="22"/>
  </w:num>
  <w:num w:numId="33">
    <w:abstractNumId w:val="24"/>
  </w:num>
  <w:num w:numId="34">
    <w:abstractNumId w:val="4"/>
  </w:num>
  <w:num w:numId="35">
    <w:abstractNumId w:val="37"/>
  </w:num>
  <w:num w:numId="36">
    <w:abstractNumId w:val="27"/>
  </w:num>
  <w:num w:numId="37">
    <w:abstractNumId w:val="20"/>
  </w:num>
  <w:num w:numId="38">
    <w:abstractNumId w:val="12"/>
  </w:num>
  <w:num w:numId="39">
    <w:abstractNumId w:val="32"/>
  </w:num>
  <w:num w:numId="40">
    <w:abstractNumId w:val="35"/>
  </w:num>
  <w:num w:numId="41">
    <w:abstractNumId w:val="25"/>
  </w:num>
  <w:num w:numId="42">
    <w:abstractNumId w:val="40"/>
  </w:num>
  <w:num w:numId="43">
    <w:abstractNumId w:val="31"/>
  </w:num>
  <w:num w:numId="44">
    <w:abstractNumId w:val="2"/>
  </w:num>
  <w:num w:numId="45">
    <w:abstractNumId w:val="1"/>
  </w:num>
  <w:num w:numId="46">
    <w:abstractNumId w:val="14"/>
  </w:num>
  <w:num w:numId="47">
    <w:abstractNumId w:val="10"/>
  </w:num>
  <w:num w:numId="48">
    <w:abstractNumId w:val="28"/>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B53E9"/>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1144"/>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D4456"/>
    <w:rsid w:val="001E10C6"/>
    <w:rsid w:val="001E6A35"/>
    <w:rsid w:val="001F0938"/>
    <w:rsid w:val="001F618A"/>
    <w:rsid w:val="001F7F10"/>
    <w:rsid w:val="002028E6"/>
    <w:rsid w:val="00206A9C"/>
    <w:rsid w:val="00212F85"/>
    <w:rsid w:val="00216F21"/>
    <w:rsid w:val="00217790"/>
    <w:rsid w:val="00221D29"/>
    <w:rsid w:val="0022447A"/>
    <w:rsid w:val="00226709"/>
    <w:rsid w:val="00235D7A"/>
    <w:rsid w:val="00237713"/>
    <w:rsid w:val="00237B06"/>
    <w:rsid w:val="00240572"/>
    <w:rsid w:val="00241F1A"/>
    <w:rsid w:val="002456FD"/>
    <w:rsid w:val="00246FCD"/>
    <w:rsid w:val="002551F7"/>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A76B6"/>
    <w:rsid w:val="002B3A18"/>
    <w:rsid w:val="002B4BB6"/>
    <w:rsid w:val="002B5816"/>
    <w:rsid w:val="002B5927"/>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52A88"/>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17E88"/>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16C03"/>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31E3"/>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C91"/>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26401"/>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047B"/>
    <w:rsid w:val="00CB38E8"/>
    <w:rsid w:val="00CB4CDC"/>
    <w:rsid w:val="00CB6893"/>
    <w:rsid w:val="00CC24BF"/>
    <w:rsid w:val="00CC2F1B"/>
    <w:rsid w:val="00CC4336"/>
    <w:rsid w:val="00CD43AB"/>
    <w:rsid w:val="00CD5D6A"/>
    <w:rsid w:val="00CE5D80"/>
    <w:rsid w:val="00CE65FF"/>
    <w:rsid w:val="00CF12B4"/>
    <w:rsid w:val="00CF1494"/>
    <w:rsid w:val="00CF2402"/>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35DE2"/>
    <w:rsid w:val="00E41416"/>
    <w:rsid w:val="00E425C3"/>
    <w:rsid w:val="00E44C86"/>
    <w:rsid w:val="00E47D7E"/>
    <w:rsid w:val="00E5178B"/>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85B75-59BB-43A2-80F9-2DAC9AEF5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6561</Words>
  <Characters>37404</Characters>
  <Application>Microsoft Office Word</Application>
  <DocSecurity>0</DocSecurity>
  <Lines>311</Lines>
  <Paragraphs>87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OM1</cp:lastModifiedBy>
  <cp:revision>17</cp:revision>
  <cp:lastPrinted>2016-08-27T16:57:00Z</cp:lastPrinted>
  <dcterms:created xsi:type="dcterms:W3CDTF">2021-06-15T08:51:00Z</dcterms:created>
  <dcterms:modified xsi:type="dcterms:W3CDTF">2023-11-24T13:25:00Z</dcterms:modified>
</cp:coreProperties>
</file>