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0B176ECB"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17</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276CEF40"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7.4.</w:t>
      </w:r>
      <w:r w:rsidR="002B4BB6" w:rsidRPr="008D182A">
        <w:rPr>
          <w:rFonts w:ascii="Arial" w:hAnsi="Arial" w:cs="Arial"/>
          <w:b/>
          <w:color w:val="000000" w:themeColor="text1"/>
          <w:sz w:val="24"/>
          <w:szCs w:val="19"/>
        </w:rPr>
        <w:t xml:space="preserve"> </w:t>
      </w:r>
      <w:r w:rsidR="00C55A55" w:rsidRPr="008D182A">
        <w:rPr>
          <w:rFonts w:ascii="Arial" w:hAnsi="Arial" w:cs="Arial"/>
          <w:b/>
          <w:color w:val="000000" w:themeColor="text1"/>
          <w:sz w:val="24"/>
          <w:szCs w:val="19"/>
        </w:rPr>
        <w:t>Zvýšenie kapacít základných škôl v Bratislavskom kraji</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709E51D6"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7.4.</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Zvýšenie kapacít základných škôl v Bratislavskom kraji</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6814D5B3"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 xml:space="preserve">7.4 </w:t>
      </w:r>
    </w:p>
    <w:p w14:paraId="6E8C17EB" w14:textId="6AC7FA25"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7.4</w:t>
      </w:r>
      <w:r w:rsidRPr="00FB4F69">
        <w:rPr>
          <w:rFonts w:ascii="Arial" w:hAnsi="Arial" w:cs="Arial"/>
          <w:color w:val="000000" w:themeColor="text1"/>
          <w:sz w:val="19"/>
          <w:szCs w:val="19"/>
        </w:rPr>
        <w:t xml:space="preserve">, ktorým je </w:t>
      </w:r>
      <w:r w:rsidR="00EA7014" w:rsidRPr="00EA7014">
        <w:rPr>
          <w:rFonts w:ascii="Arial" w:hAnsi="Arial" w:cs="Arial"/>
          <w:color w:val="000000" w:themeColor="text1"/>
          <w:sz w:val="19"/>
          <w:szCs w:val="19"/>
        </w:rPr>
        <w:t>na riešenie nedostatku kapacít základných škôl, na zamedzenie zavádzania dvojzmennej prevádzky v kontexte SMART školy.</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50BC4CA9"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lastRenderedPageBreak/>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7.4.</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Zvýšenie kapacít základných škôl v Bratislavskom kraji, ktoré sú </w:t>
      </w:r>
      <w:r w:rsidRPr="00FB4F69">
        <w:rPr>
          <w:rFonts w:ascii="Arial" w:hAnsi="Arial" w:cs="Arial"/>
          <w:color w:val="000000" w:themeColor="text1"/>
          <w:sz w:val="19"/>
          <w:szCs w:val="19"/>
        </w:rPr>
        <w:t>definované nasledovne: </w:t>
      </w:r>
    </w:p>
    <w:p w14:paraId="1692CD36"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rozšírenie kapacít základných škôl a zlepšenie podmienok základného vzdelávania,</w:t>
      </w:r>
    </w:p>
    <w:p w14:paraId="18D758C7"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zvýšenie počtu základných škôl s prvkami inkluzívneho vzdelávania,</w:t>
      </w:r>
    </w:p>
    <w:p w14:paraId="18757AB3"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vytvorenie podmienok pre celoživotné vzdelávania.</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4C9AAF04"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výstavba nových objektov, rozširovanie kapacít existujúcich objektov základných škôl prístavbou, nadstavbou, rekonštrukciou, zmenou dispozície objektov;</w:t>
      </w:r>
    </w:p>
    <w:p w14:paraId="65390C0F"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výstavba a stavebno-technické úpravy jedální, kuchýň a telocviční so zázemím vo vzťahu k rozširovaniu kapacít ZŠ;</w:t>
      </w:r>
    </w:p>
    <w:p w14:paraId="589092F5"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výstavba a stavebno-technické úpravy areálu základnej školy vrátane ihrísk, športových zariadení, záhrad s možnosťou celoročnej prevádzky;  </w:t>
      </w:r>
    </w:p>
    <w:p w14:paraId="3D62B658"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zvyšovanie energetickej hospodárnosti budov základných škôl vo vzťahu k rozširovaniu kapacít; </w:t>
      </w:r>
    </w:p>
    <w:p w14:paraId="052F09FF" w14:textId="517DA63C"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7.4.</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642D2090" w14:textId="77777777" w:rsidR="00F043AE" w:rsidRPr="00FB4F69" w:rsidRDefault="00F043AE" w:rsidP="00F043AE">
      <w:pPr>
        <w:pStyle w:val="Odsekzoznamu"/>
        <w:spacing w:before="120" w:after="120" w:line="288" w:lineRule="auto"/>
        <w:ind w:left="0"/>
        <w:jc w:val="both"/>
        <w:rPr>
          <w:rFonts w:ascii="Arial" w:hAnsi="Arial" w:cs="Arial"/>
          <w:b/>
          <w:color w:val="000000" w:themeColor="text1"/>
          <w:sz w:val="19"/>
          <w:szCs w:val="19"/>
          <w:lang w:val="sk-SK"/>
        </w:rPr>
      </w:pPr>
    </w:p>
    <w:p w14:paraId="7DF3B0B9" w14:textId="115A9EDF"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sa realizuje v</w:t>
      </w:r>
      <w:r w:rsidR="00FC1A03">
        <w:rPr>
          <w:rFonts w:ascii="Arial" w:eastAsiaTheme="minorHAnsi" w:hAnsi="Arial" w:cs="Arial"/>
          <w:color w:val="000000" w:themeColor="text1"/>
          <w:sz w:val="19"/>
          <w:szCs w:val="19"/>
          <w:lang w:val="sk-SK" w:bidi="ar-SA"/>
        </w:rPr>
        <w:t> </w:t>
      </w:r>
      <w:r w:rsidRPr="00FB4F69">
        <w:rPr>
          <w:rFonts w:ascii="Arial" w:eastAsiaTheme="minorHAnsi" w:hAnsi="Arial" w:cs="Arial"/>
          <w:color w:val="000000" w:themeColor="text1"/>
          <w:sz w:val="19"/>
          <w:szCs w:val="19"/>
          <w:lang w:val="sk-SK" w:bidi="ar-SA"/>
        </w:rPr>
        <w:t>škole</w:t>
      </w:r>
      <w:r w:rsidR="00FC1A03">
        <w:rPr>
          <w:rFonts w:ascii="Arial" w:eastAsiaTheme="minorHAnsi" w:hAnsi="Arial" w:cs="Arial"/>
          <w:color w:val="000000" w:themeColor="text1"/>
          <w:sz w:val="19"/>
          <w:szCs w:val="19"/>
          <w:lang w:val="sk-SK" w:bidi="ar-SA"/>
        </w:rPr>
        <w:t xml:space="preserve"> a školskom zariadení zaradených</w:t>
      </w:r>
      <w:r w:rsidRPr="00FB4F69">
        <w:rPr>
          <w:rFonts w:ascii="Arial" w:eastAsiaTheme="minorHAnsi" w:hAnsi="Arial" w:cs="Arial"/>
          <w:color w:val="000000" w:themeColor="text1"/>
          <w:sz w:val="19"/>
          <w:szCs w:val="19"/>
          <w:lang w:val="sk-SK" w:bidi="ar-SA"/>
        </w:rPr>
        <w:t xml:space="preserve"> do siete škôl a školských zariadení v súlade so zákonom č. 596/2003 Z. z. o štátnej správe v školstve a školskej samospráve v platnom znení (</w:t>
      </w:r>
      <w:r w:rsidRPr="00FB4F69">
        <w:rPr>
          <w:rFonts w:ascii="Arial" w:eastAsia="Helvetica" w:hAnsi="Arial" w:cs="Arial"/>
          <w:color w:val="000000" w:themeColor="text1"/>
          <w:sz w:val="19"/>
          <w:szCs w:val="19"/>
          <w:lang w:val="sk-SK"/>
        </w:rPr>
        <w:t>najmä §15 Sieť</w:t>
      </w:r>
      <w:r w:rsidRPr="00FB4F69">
        <w:rPr>
          <w:rFonts w:ascii="Arial" w:hAnsi="Arial" w:cs="Arial"/>
          <w:color w:val="000000" w:themeColor="text1"/>
          <w:sz w:val="19"/>
          <w:szCs w:val="19"/>
          <w:lang w:val="sk-SK"/>
        </w:rPr>
        <w:t>)</w:t>
      </w:r>
      <w:r w:rsidRPr="00FB4F69">
        <w:rPr>
          <w:rFonts w:ascii="Arial" w:eastAsiaTheme="minorHAnsi" w:hAnsi="Arial" w:cs="Arial"/>
          <w:color w:val="000000" w:themeColor="text1"/>
          <w:sz w:val="19"/>
          <w:szCs w:val="19"/>
          <w:lang w:val="sk-SK" w:bidi="ar-SA"/>
        </w:rPr>
        <w:t>,</w:t>
      </w:r>
    </w:p>
    <w:p w14:paraId="0A23954E"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je v súlade so zákonom č. 245/2008 Z. z. o výchove a vzdelávaní (školský zákon) v platnom znení (</w:t>
      </w:r>
      <w:r w:rsidRPr="00FB4F69">
        <w:rPr>
          <w:rFonts w:ascii="Arial" w:eastAsia="Helvetica" w:hAnsi="Arial" w:cs="Arial"/>
          <w:color w:val="000000" w:themeColor="text1"/>
          <w:sz w:val="19"/>
          <w:szCs w:val="19"/>
          <w:lang w:val="sk-SK"/>
        </w:rPr>
        <w:t>najmä §29-§31 Základná škola a ďalšie ustanovenia týkajúce sa základných škôl a základného vzdelávania)</w:t>
      </w:r>
      <w:r w:rsidRPr="00FB4F69">
        <w:rPr>
          <w:rFonts w:ascii="Arial" w:eastAsiaTheme="minorHAnsi" w:hAnsi="Arial" w:cs="Arial"/>
          <w:color w:val="000000" w:themeColor="text1"/>
          <w:sz w:val="19"/>
          <w:szCs w:val="19"/>
          <w:lang w:val="sk-SK" w:bidi="ar-SA"/>
        </w:rPr>
        <w:t>,</w:t>
      </w:r>
    </w:p>
    <w:p w14:paraId="4BD6A719" w14:textId="6BE590EA"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hAnsi="Arial" w:cs="Arial"/>
          <w:color w:val="000000" w:themeColor="text1"/>
          <w:sz w:val="19"/>
          <w:szCs w:val="19"/>
          <w:lang w:val="sk-SK"/>
        </w:rPr>
        <w:t>projekt</w:t>
      </w:r>
      <w:r w:rsidRPr="00FB4F69">
        <w:rPr>
          <w:rFonts w:ascii="Arial" w:eastAsiaTheme="minorHAnsi" w:hAnsi="Arial" w:cs="Arial"/>
          <w:color w:val="000000" w:themeColor="text1"/>
          <w:sz w:val="19"/>
          <w:szCs w:val="19"/>
          <w:lang w:val="sk-SK" w:bidi="ar-SA"/>
        </w:rPr>
        <w:t xml:space="preserve"> je v súlade so Štátnym vzdelávacím programom vrátane prvkov inkluzívneho vzdelávania pre prvý a druhý stupeň základných škôl (</w:t>
      </w:r>
      <w:r w:rsidRPr="00FB4F69">
        <w:rPr>
          <w:rFonts w:ascii="Arial" w:hAnsi="Arial" w:cs="Arial"/>
          <w:color w:val="000000" w:themeColor="text1"/>
          <w:sz w:val="19"/>
          <w:szCs w:val="19"/>
          <w:lang w:val="sk-SK"/>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všeobecným intelektovým nadaním a pod.)</w:t>
      </w:r>
      <w:r w:rsidR="00FB4F69">
        <w:rPr>
          <w:rFonts w:ascii="Arial" w:eastAsiaTheme="minorHAnsi" w:hAnsi="Arial" w:cs="Arial"/>
          <w:color w:val="000000" w:themeColor="text1"/>
          <w:sz w:val="19"/>
          <w:szCs w:val="19"/>
          <w:lang w:val="sk-SK" w:bidi="ar-SA"/>
        </w:rPr>
        <w:t>,</w:t>
      </w:r>
    </w:p>
    <w:p w14:paraId="02F1A8FE" w14:textId="00A59123"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podporuje inkluzívne vzdelávanie (hodnotiteľ posúdi, či je správne a dostatočne deklarovaný súlad žiadosti o NFP s princípmi inkluzívneho vzdelávania, (zavádzania prvkov solidarity, rovnakého zaobchádzania (nediskriminácie), komplexnosti, individuálneho prístupu, motivácie, zásluhovosť a spolupráce. Cieľom inkluzívneho vzdelávania je tvoriť prostredie, v ktorom je možné uspokojiť rôznorodé vzdelávacie potreby každého jedinca v súlade s ich špecifickými potrebami. Prostredníctvom plnohodnotnej účasti na vzdelávaní inkluzívny prístup vedie k zvyšovaniu úspešnosti detí/žiakov so špecifickými potrebami a ich predčasnému zaradeniu do špeciálnych zariadení),</w:t>
      </w:r>
    </w:p>
    <w:p w14:paraId="0BECC229" w14:textId="12565D0C"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podporuje celoživotné vzdelávanie v súlade so zákonom č. 568/2009 Z. z. o celoživotnom vzdelávaní v platnom znení,</w:t>
      </w:r>
    </w:p>
    <w:p w14:paraId="088A640F" w14:textId="71C91E5C"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spĺňa požiadavky v súlade s vyhláškou MŽP SR č. 532/2002 Z. z.</w:t>
      </w:r>
    </w:p>
    <w:p w14:paraId="26A5185E" w14:textId="18528AC8" w:rsidR="00621A84" w:rsidRPr="00FB4F69" w:rsidRDefault="00621A84" w:rsidP="00621A84">
      <w:pPr>
        <w:spacing w:before="120" w:after="120" w:line="288" w:lineRule="auto"/>
        <w:jc w:val="both"/>
        <w:rPr>
          <w:rFonts w:ascii="Arial" w:hAnsi="Arial" w:cs="Arial"/>
          <w:color w:val="000000" w:themeColor="text1"/>
          <w:sz w:val="19"/>
          <w:szCs w:val="19"/>
        </w:rPr>
      </w:pPr>
      <w:r w:rsidRPr="00FB4F69">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sidRPr="00FB4F69">
        <w:rPr>
          <w:rFonts w:ascii="Arial" w:eastAsia="Helvetica" w:hAnsi="Arial" w:cs="Arial"/>
          <w:color w:val="000000" w:themeColor="text1"/>
          <w:sz w:val="19"/>
          <w:szCs w:val="19"/>
        </w:rPr>
        <w:t>najmä §15 Sieť</w:t>
      </w:r>
      <w:r w:rsidR="008E2620" w:rsidRPr="00FB4F69">
        <w:rPr>
          <w:rFonts w:ascii="Arial" w:hAnsi="Arial" w:cs="Arial"/>
          <w:color w:val="000000" w:themeColor="text1"/>
          <w:sz w:val="19"/>
          <w:szCs w:val="19"/>
        </w:rPr>
        <w:t>)</w:t>
      </w:r>
      <w:r w:rsidR="008E2620">
        <w:rPr>
          <w:rFonts w:ascii="Arial" w:hAnsi="Arial" w:cs="Arial"/>
          <w:color w:val="000000" w:themeColor="text1"/>
          <w:sz w:val="19"/>
          <w:szCs w:val="19"/>
        </w:rPr>
        <w:t>.</w:t>
      </w:r>
    </w:p>
    <w:p w14:paraId="564A7108" w14:textId="77777777" w:rsidR="00621A84" w:rsidRPr="008005CD" w:rsidRDefault="00621A84" w:rsidP="00621A84">
      <w:pPr>
        <w:numPr>
          <w:ilvl w:val="1"/>
          <w:numId w:val="3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 xml:space="preserve">nízkoenergetických, </w:t>
      </w:r>
      <w:proofErr w:type="spellStart"/>
      <w:r w:rsidRPr="00BC3EE4">
        <w:rPr>
          <w:rFonts w:ascii="Arial" w:hAnsi="Arial" w:cs="Arial"/>
          <w:sz w:val="19"/>
          <w:szCs w:val="19"/>
          <w:lang w:val="sk-SK"/>
        </w:rPr>
        <w:t>ultra</w:t>
      </w:r>
      <w:proofErr w:type="spellEnd"/>
      <w:r w:rsidRPr="00BC3EE4">
        <w:rPr>
          <w:rFonts w:ascii="Arial" w:hAnsi="Arial" w:cs="Arial"/>
          <w:sz w:val="19"/>
          <w:szCs w:val="19"/>
          <w:lang w:val="sk-SK"/>
        </w:rPr>
        <w:t>-nízkoenergetických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1C2388A4" w:rsidR="00621A84" w:rsidRPr="00A179DD"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lastRenderedPageBreak/>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lastRenderedPageBreak/>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w:t>
            </w:r>
            <w:r w:rsidRPr="00F93B3F">
              <w:rPr>
                <w:rFonts w:ascii="Arial" w:eastAsia="Helvetica" w:hAnsi="Arial" w:cs="Arial"/>
                <w:color w:val="000000" w:themeColor="text1"/>
                <w:sz w:val="19"/>
                <w:szCs w:val="19"/>
              </w:rPr>
              <w:lastRenderedPageBreak/>
              <w:t xml:space="preserve">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lastRenderedPageBreak/>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lastRenderedPageBreak/>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 xml:space="preserve">Prieskum trhových cien sa vykonáva  s cieľom stanovenia cien v rozpočte projektu. Prieskum trhu sa vykonáva za účelom získania PHZ a predkladá sa </w:t>
      </w:r>
      <w:r w:rsidRPr="004F2105">
        <w:rPr>
          <w:rFonts w:ascii="Arial" w:hAnsi="Arial" w:cs="Arial"/>
          <w:sz w:val="19"/>
          <w:szCs w:val="19"/>
        </w:rPr>
        <w:lastRenderedPageBreak/>
        <w:t>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35597780"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D22775">
        <w:rPr>
          <w:rFonts w:ascii="Arial" w:hAnsi="Arial" w:cs="Arial"/>
          <w:color w:val="000000" w:themeColor="text1"/>
          <w:sz w:val="19"/>
          <w:szCs w:val="19"/>
        </w:rPr>
        <w:t xml:space="preserve"> a príloha </w:t>
      </w:r>
      <w:r w:rsidR="00D22775"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2A675E0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príloha č. 5 ŽoNFP</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64A955CA"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5CBA2694" w14:textId="77777777" w:rsidR="00F255BF" w:rsidRDefault="00F255BF" w:rsidP="00F255B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F4D1F64" w14:textId="77777777" w:rsidR="00F255BF" w:rsidRPr="004E7F22" w:rsidRDefault="00F255BF"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lastRenderedPageBreak/>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w:t>
            </w:r>
            <w:r w:rsidRPr="00F93B3F">
              <w:rPr>
                <w:rFonts w:ascii="Arial" w:eastAsia="Helvetica" w:hAnsi="Arial" w:cs="Arial"/>
                <w:color w:val="000000" w:themeColor="text1"/>
                <w:sz w:val="19"/>
                <w:szCs w:val="19"/>
              </w:rPr>
              <w:lastRenderedPageBreak/>
              <w:t>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footerReference w:type="default" r:id="rId8"/>
      <w:headerReference w:type="first" r:id="rId9"/>
      <w:footerReference w:type="first" r:id="rId10"/>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44F649A" w:rsidR="008B1F42" w:rsidRDefault="009F59B5" w:rsidP="009F59B5">
        <w:pPr>
          <w:pStyle w:val="Pta"/>
        </w:pPr>
        <w:r w:rsidRPr="00BE7612">
          <w:rPr>
            <w:rFonts w:ascii="Arial" w:hAnsi="Arial" w:cs="Arial"/>
            <w:sz w:val="16"/>
            <w:szCs w:val="16"/>
          </w:rPr>
          <w:t xml:space="preserve">Príručka pre odborných hodnotiteľov IROP, verzia </w:t>
        </w:r>
        <w:r w:rsidR="0002047A">
          <w:rPr>
            <w:rFonts w:ascii="Arial" w:hAnsi="Arial" w:cs="Arial"/>
            <w:sz w:val="16"/>
            <w:szCs w:val="16"/>
          </w:rPr>
          <w:t>13.</w:t>
        </w:r>
        <w:r w:rsidR="005A26DA">
          <w:rPr>
            <w:rFonts w:ascii="Arial" w:hAnsi="Arial" w:cs="Arial"/>
            <w:sz w:val="16"/>
            <w:szCs w:val="16"/>
          </w:rPr>
          <w:t>1</w:t>
        </w:r>
      </w:p>
    </w:sdtContent>
  </w:sdt>
  <w:p w14:paraId="5EA23281" w14:textId="77777777" w:rsidR="008B1F42" w:rsidRDefault="008B1F4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0"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9"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3"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40"/>
  </w:num>
  <w:num w:numId="5">
    <w:abstractNumId w:val="41"/>
  </w:num>
  <w:num w:numId="6">
    <w:abstractNumId w:val="11"/>
  </w:num>
  <w:num w:numId="7">
    <w:abstractNumId w:val="37"/>
  </w:num>
  <w:num w:numId="8">
    <w:abstractNumId w:val="15"/>
  </w:num>
  <w:num w:numId="9">
    <w:abstractNumId w:val="16"/>
  </w:num>
  <w:num w:numId="10">
    <w:abstractNumId w:val="7"/>
  </w:num>
  <w:num w:numId="11">
    <w:abstractNumId w:val="22"/>
  </w:num>
  <w:num w:numId="12">
    <w:abstractNumId w:val="18"/>
  </w:num>
  <w:num w:numId="13">
    <w:abstractNumId w:val="36"/>
  </w:num>
  <w:num w:numId="14">
    <w:abstractNumId w:val="27"/>
  </w:num>
  <w:num w:numId="15">
    <w:abstractNumId w:val="17"/>
  </w:num>
  <w:num w:numId="16">
    <w:abstractNumId w:val="13"/>
  </w:num>
  <w:num w:numId="17">
    <w:abstractNumId w:val="25"/>
  </w:num>
  <w:num w:numId="18">
    <w:abstractNumId w:val="39"/>
  </w:num>
  <w:num w:numId="19">
    <w:abstractNumId w:val="32"/>
  </w:num>
  <w:num w:numId="20">
    <w:abstractNumId w:val="5"/>
  </w:num>
  <w:num w:numId="21">
    <w:abstractNumId w:val="3"/>
  </w:num>
  <w:num w:numId="22">
    <w:abstractNumId w:val="43"/>
  </w:num>
  <w:num w:numId="23">
    <w:abstractNumId w:val="9"/>
  </w:num>
  <w:num w:numId="24">
    <w:abstractNumId w:val="43"/>
  </w:num>
  <w:num w:numId="25">
    <w:abstractNumId w:val="3"/>
  </w:num>
  <w:num w:numId="26">
    <w:abstractNumId w:val="9"/>
  </w:num>
  <w:num w:numId="27">
    <w:abstractNumId w:val="8"/>
  </w:num>
  <w:num w:numId="28">
    <w:abstractNumId w:val="34"/>
  </w:num>
  <w:num w:numId="29">
    <w:abstractNumId w:val="31"/>
  </w:num>
  <w:num w:numId="30">
    <w:abstractNumId w:val="42"/>
  </w:num>
  <w:num w:numId="31">
    <w:abstractNumId w:val="28"/>
  </w:num>
  <w:num w:numId="32">
    <w:abstractNumId w:val="21"/>
  </w:num>
  <w:num w:numId="33">
    <w:abstractNumId w:val="23"/>
  </w:num>
  <w:num w:numId="34">
    <w:abstractNumId w:val="4"/>
  </w:num>
  <w:num w:numId="35">
    <w:abstractNumId w:val="35"/>
  </w:num>
  <w:num w:numId="36">
    <w:abstractNumId w:val="26"/>
  </w:num>
  <w:num w:numId="37">
    <w:abstractNumId w:val="19"/>
  </w:num>
  <w:num w:numId="38">
    <w:abstractNumId w:val="12"/>
  </w:num>
  <w:num w:numId="39">
    <w:abstractNumId w:val="30"/>
  </w:num>
  <w:num w:numId="40">
    <w:abstractNumId w:val="33"/>
  </w:num>
  <w:num w:numId="41">
    <w:abstractNumId w:val="24"/>
  </w:num>
  <w:num w:numId="42">
    <w:abstractNumId w:val="38"/>
  </w:num>
  <w:num w:numId="43">
    <w:abstractNumId w:val="29"/>
  </w:num>
  <w:num w:numId="44">
    <w:abstractNumId w:val="2"/>
  </w:num>
  <w:num w:numId="45">
    <w:abstractNumId w:val="1"/>
  </w:num>
  <w:num w:numId="46">
    <w:abstractNumId w:val="14"/>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07C04"/>
    <w:rsid w:val="0001325E"/>
    <w:rsid w:val="000143D8"/>
    <w:rsid w:val="0001588A"/>
    <w:rsid w:val="0001660D"/>
    <w:rsid w:val="000166D8"/>
    <w:rsid w:val="0002047A"/>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A36AE"/>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573D1"/>
    <w:rsid w:val="00561444"/>
    <w:rsid w:val="00563B91"/>
    <w:rsid w:val="00564DB5"/>
    <w:rsid w:val="0057380A"/>
    <w:rsid w:val="0057652E"/>
    <w:rsid w:val="00581A45"/>
    <w:rsid w:val="00581C5F"/>
    <w:rsid w:val="00582FCE"/>
    <w:rsid w:val="0059209D"/>
    <w:rsid w:val="0059573D"/>
    <w:rsid w:val="0059586E"/>
    <w:rsid w:val="00595B20"/>
    <w:rsid w:val="005963A1"/>
    <w:rsid w:val="0059761F"/>
    <w:rsid w:val="005A26DA"/>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03CE6"/>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218"/>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27A75"/>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1D93"/>
    <w:rsid w:val="008D2056"/>
    <w:rsid w:val="008D2C23"/>
    <w:rsid w:val="008D6238"/>
    <w:rsid w:val="008D62B8"/>
    <w:rsid w:val="008D6DCA"/>
    <w:rsid w:val="008D71E2"/>
    <w:rsid w:val="008D7EAF"/>
    <w:rsid w:val="008E0299"/>
    <w:rsid w:val="008E0E6B"/>
    <w:rsid w:val="008E17C1"/>
    <w:rsid w:val="008E2620"/>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65FF"/>
    <w:rsid w:val="00CF12B4"/>
    <w:rsid w:val="00CF1494"/>
    <w:rsid w:val="00CF2402"/>
    <w:rsid w:val="00CF4836"/>
    <w:rsid w:val="00D05B26"/>
    <w:rsid w:val="00D06F22"/>
    <w:rsid w:val="00D07504"/>
    <w:rsid w:val="00D07E0F"/>
    <w:rsid w:val="00D1737B"/>
    <w:rsid w:val="00D2210A"/>
    <w:rsid w:val="00D22775"/>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255BF"/>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4F33"/>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EC3EC-9E3D-41D5-82A1-426FFE808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6897</Words>
  <Characters>39316</Characters>
  <Application>Microsoft Office Word</Application>
  <DocSecurity>0</DocSecurity>
  <Lines>327</Lines>
  <Paragraphs>92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18</cp:revision>
  <cp:lastPrinted>2016-08-27T16:57:00Z</cp:lastPrinted>
  <dcterms:created xsi:type="dcterms:W3CDTF">2021-06-15T08:10:00Z</dcterms:created>
  <dcterms:modified xsi:type="dcterms:W3CDTF">2023-11-24T13:25:00Z</dcterms:modified>
</cp:coreProperties>
</file>