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5AE28907"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bookmarkStart w:id="0" w:name="_GoBack"/>
      <w:bookmarkEnd w:id="0"/>
      <w:r w:rsidRPr="0092225F">
        <w:rPr>
          <w:rFonts w:ascii="Arial" w:eastAsia="Calibri" w:hAnsi="Arial" w:cs="Arial"/>
          <w:b/>
          <w:bCs/>
          <w:color w:val="000000" w:themeColor="text1"/>
          <w:sz w:val="20"/>
          <w:szCs w:val="20"/>
        </w:rPr>
        <w:t xml:space="preserve">Príloha č. </w:t>
      </w:r>
      <w:r w:rsidR="009F59B5">
        <w:rPr>
          <w:rFonts w:ascii="Arial" w:eastAsia="Calibri" w:hAnsi="Arial" w:cs="Arial"/>
          <w:b/>
          <w:bCs/>
          <w:color w:val="000000" w:themeColor="text1"/>
          <w:sz w:val="20"/>
          <w:szCs w:val="20"/>
        </w:rPr>
        <w:t>1</w:t>
      </w:r>
      <w:r w:rsidR="00CC5388">
        <w:rPr>
          <w:rFonts w:ascii="Arial" w:eastAsia="Calibri" w:hAnsi="Arial" w:cs="Arial"/>
          <w:b/>
          <w:bCs/>
          <w:color w:val="000000" w:themeColor="text1"/>
          <w:sz w:val="20"/>
          <w:szCs w:val="20"/>
        </w:rPr>
        <w:t>4</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3BB164EE"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C55A55" w:rsidRPr="008D182A">
        <w:rPr>
          <w:rFonts w:ascii="Arial" w:hAnsi="Arial" w:cs="Arial"/>
          <w:b/>
          <w:color w:val="000000" w:themeColor="text1"/>
          <w:sz w:val="24"/>
          <w:szCs w:val="19"/>
        </w:rPr>
        <w:t>7.</w:t>
      </w:r>
      <w:r w:rsidR="0049495F">
        <w:rPr>
          <w:rFonts w:ascii="Arial" w:hAnsi="Arial" w:cs="Arial"/>
          <w:b/>
          <w:color w:val="000000" w:themeColor="text1"/>
          <w:sz w:val="24"/>
          <w:szCs w:val="19"/>
        </w:rPr>
        <w:t>1</w:t>
      </w:r>
      <w:r w:rsidR="00C55A55" w:rsidRPr="008D182A">
        <w:rPr>
          <w:rFonts w:ascii="Arial" w:hAnsi="Arial" w:cs="Arial"/>
          <w:b/>
          <w:color w:val="000000" w:themeColor="text1"/>
          <w:sz w:val="24"/>
          <w:szCs w:val="19"/>
        </w:rPr>
        <w:t>.</w:t>
      </w:r>
      <w:r w:rsidR="002B4BB6" w:rsidRPr="008D182A">
        <w:rPr>
          <w:rFonts w:ascii="Arial" w:hAnsi="Arial" w:cs="Arial"/>
          <w:b/>
          <w:color w:val="000000" w:themeColor="text1"/>
          <w:sz w:val="24"/>
          <w:szCs w:val="19"/>
        </w:rPr>
        <w:t xml:space="preserve"> </w:t>
      </w:r>
      <w:r w:rsidR="0049495F" w:rsidRPr="008D182A">
        <w:rPr>
          <w:rFonts w:ascii="Arial" w:hAnsi="Arial" w:cs="Arial"/>
          <w:b/>
          <w:iCs/>
          <w:color w:val="000000" w:themeColor="text1"/>
          <w:sz w:val="24"/>
          <w:szCs w:val="19"/>
        </w:rPr>
        <w:t>Zvýšenie atraktivity a konkurencieschopnosti verejnej osobnej dopravy</w:t>
      </w:r>
    </w:p>
    <w:tbl>
      <w:tblPr>
        <w:tblStyle w:val="TableGrid2"/>
        <w:tblW w:w="4973" w:type="pct"/>
        <w:tblLook w:val="04A0" w:firstRow="1" w:lastRow="0" w:firstColumn="1" w:lastColumn="0" w:noHBand="0" w:noVBand="1"/>
      </w:tblPr>
      <w:tblGrid>
        <w:gridCol w:w="569"/>
        <w:gridCol w:w="14736"/>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2ECBE1B1"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w:t>
            </w:r>
            <w:r w:rsidR="00944D9F">
              <w:rPr>
                <w:rFonts w:ascii="Arial" w:hAnsi="Arial" w:cs="Arial"/>
                <w:color w:val="000000" w:themeColor="text1"/>
                <w:sz w:val="19"/>
                <w:szCs w:val="19"/>
              </w:rPr>
              <w:t>1</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Zvýšenie</w:t>
            </w:r>
            <w:r w:rsidR="00944D9F">
              <w:rPr>
                <w:rFonts w:ascii="Arial" w:hAnsi="Arial" w:cs="Arial"/>
                <w:color w:val="000000" w:themeColor="text1"/>
                <w:sz w:val="19"/>
                <w:szCs w:val="19"/>
              </w:rPr>
              <w:t xml:space="preserve"> </w:t>
            </w:r>
            <w:r w:rsidR="00944D9F" w:rsidRPr="00944D9F">
              <w:rPr>
                <w:rFonts w:ascii="Arial" w:hAnsi="Arial" w:cs="Arial"/>
                <w:color w:val="000000" w:themeColor="text1"/>
                <w:sz w:val="19"/>
                <w:szCs w:val="19"/>
              </w:rPr>
              <w:t>atraktivity a konkurencieschopnosti verejnej osobnej dopravy</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763F34">
            <w:pPr>
              <w:pStyle w:val="Odsekzoznamu"/>
              <w:keepNext/>
              <w:keepLines/>
              <w:numPr>
                <w:ilvl w:val="0"/>
                <w:numId w:val="2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4A28019"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očakávané merateľné ukazovatele</w:t>
      </w:r>
      <w:r w:rsidR="00A560B5">
        <w:rPr>
          <w:rFonts w:ascii="Arial" w:hAnsi="Arial" w:cs="Arial"/>
          <w:color w:val="000000" w:themeColor="text1"/>
          <w:sz w:val="19"/>
          <w:szCs w:val="19"/>
        </w:rPr>
        <w:t xml:space="preserve">, </w:t>
      </w:r>
      <w:r w:rsidR="00A560B5" w:rsidRPr="00043A24">
        <w:rPr>
          <w:rFonts w:ascii="Arial" w:hAnsi="Arial" w:cs="Arial"/>
          <w:color w:val="000000" w:themeColor="text1"/>
          <w:sz w:val="19"/>
          <w:szCs w:val="19"/>
        </w:rPr>
        <w:t>príloha Stanovisko RO pre IROP týkajúce sa splnenia parametrov „bezpečných/istých“ projektov</w:t>
      </w:r>
      <w:r w:rsidR="003108BE" w:rsidRPr="00043A24">
        <w:rPr>
          <w:rFonts w:ascii="Arial" w:hAnsi="Arial" w:cs="Arial"/>
          <w:color w:val="000000" w:themeColor="text1"/>
          <w:sz w:val="19"/>
          <w:szCs w:val="19"/>
        </w:rPr>
        <w:t xml:space="preserve"> (ak relevantné).</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3D2AC702" w:rsidR="00621A84" w:rsidRPr="008B1F42" w:rsidRDefault="00621A84" w:rsidP="00621A84">
      <w:pPr>
        <w:numPr>
          <w:ilvl w:val="0"/>
          <w:numId w:val="3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7.</w:t>
      </w:r>
      <w:r w:rsidR="00944D9F">
        <w:rPr>
          <w:rFonts w:ascii="Arial" w:hAnsi="Arial" w:cs="Arial"/>
          <w:b/>
          <w:bCs/>
          <w:color w:val="000000" w:themeColor="text1"/>
          <w:sz w:val="19"/>
          <w:szCs w:val="19"/>
        </w:rPr>
        <w:t>1</w:t>
      </w:r>
      <w:r w:rsidR="00F043AE" w:rsidRPr="008B1F42">
        <w:rPr>
          <w:rFonts w:ascii="Arial" w:hAnsi="Arial" w:cs="Arial"/>
          <w:b/>
          <w:bCs/>
          <w:color w:val="000000" w:themeColor="text1"/>
          <w:sz w:val="19"/>
          <w:szCs w:val="19"/>
        </w:rPr>
        <w:t xml:space="preserve"> </w:t>
      </w:r>
    </w:p>
    <w:p w14:paraId="61169C2F" w14:textId="247A87E7" w:rsidR="00B24207" w:rsidRPr="00795D8F" w:rsidRDefault="00621A84" w:rsidP="00B24207">
      <w:pPr>
        <w:spacing w:before="120"/>
        <w:jc w:val="both"/>
        <w:rPr>
          <w:rFonts w:ascii="Arial" w:hAnsi="Arial" w:cs="Arial"/>
        </w:rPr>
      </w:pPr>
      <w:r w:rsidRPr="008B1F42">
        <w:rPr>
          <w:rFonts w:ascii="Arial" w:hAnsi="Arial" w:cs="Arial"/>
          <w:color w:val="000000" w:themeColor="text1"/>
          <w:sz w:val="19"/>
          <w:szCs w:val="19"/>
        </w:rPr>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Pr="00FB4F69">
        <w:rPr>
          <w:rFonts w:ascii="Arial" w:hAnsi="Arial" w:cs="Arial"/>
          <w:color w:val="000000" w:themeColor="text1"/>
          <w:sz w:val="19"/>
          <w:szCs w:val="19"/>
        </w:rPr>
        <w:t xml:space="preserve">a je v súlade so špecifickým cieľom </w:t>
      </w:r>
      <w:r w:rsidR="008B1F42" w:rsidRPr="00EA7014">
        <w:rPr>
          <w:rFonts w:ascii="Arial" w:hAnsi="Arial" w:cs="Arial"/>
          <w:color w:val="000000" w:themeColor="text1"/>
          <w:sz w:val="19"/>
          <w:szCs w:val="19"/>
        </w:rPr>
        <w:t>7.</w:t>
      </w:r>
      <w:r w:rsidR="00944D9F">
        <w:rPr>
          <w:rFonts w:ascii="Arial" w:hAnsi="Arial" w:cs="Arial"/>
          <w:color w:val="000000" w:themeColor="text1"/>
          <w:sz w:val="19"/>
          <w:szCs w:val="19"/>
        </w:rPr>
        <w:t>1</w:t>
      </w:r>
      <w:r w:rsidRPr="00FB4F69">
        <w:rPr>
          <w:rFonts w:ascii="Arial" w:hAnsi="Arial" w:cs="Arial"/>
          <w:color w:val="000000" w:themeColor="text1"/>
          <w:sz w:val="19"/>
          <w:szCs w:val="19"/>
        </w:rPr>
        <w:t xml:space="preserve">, ktorým je </w:t>
      </w:r>
      <w:r w:rsidR="00944D9F">
        <w:rPr>
          <w:rFonts w:ascii="Arial" w:hAnsi="Arial" w:cs="Arial"/>
          <w:color w:val="000000" w:themeColor="text1"/>
          <w:sz w:val="19"/>
          <w:szCs w:val="19"/>
        </w:rPr>
        <w:t>p</w:t>
      </w:r>
      <w:r w:rsidR="00944D9F" w:rsidRPr="00944D9F">
        <w:rPr>
          <w:rFonts w:ascii="Arial" w:hAnsi="Arial" w:cs="Arial"/>
          <w:color w:val="000000" w:themeColor="text1"/>
          <w:sz w:val="19"/>
          <w:szCs w:val="19"/>
        </w:rPr>
        <w:t>rostredníctvom infraštruktúrnych opatrení v rámci verejnej osobnej dopravy docie</w:t>
      </w:r>
      <w:r w:rsidR="00944D9F">
        <w:rPr>
          <w:rFonts w:ascii="Arial" w:hAnsi="Arial" w:cs="Arial"/>
          <w:color w:val="000000" w:themeColor="text1"/>
          <w:sz w:val="19"/>
          <w:szCs w:val="19"/>
        </w:rPr>
        <w:t xml:space="preserve">lenie </w:t>
      </w:r>
      <w:r w:rsidR="00944D9F" w:rsidRPr="00944D9F">
        <w:rPr>
          <w:rFonts w:ascii="Arial" w:hAnsi="Arial" w:cs="Arial"/>
          <w:color w:val="000000" w:themeColor="text1"/>
          <w:sz w:val="19"/>
          <w:szCs w:val="19"/>
        </w:rPr>
        <w:t xml:space="preserve">zvýšenie jej atraktivity, pokles individuálnej automobilovej dopravy, nižšia miera emisií skleníkových plynov na prepraveného jednotlivca a zníženie pevných </w:t>
      </w:r>
      <w:r w:rsidR="00944D9F" w:rsidRPr="00944D9F">
        <w:rPr>
          <w:rFonts w:ascii="Arial" w:hAnsi="Arial" w:cs="Arial"/>
          <w:color w:val="000000" w:themeColor="text1"/>
          <w:sz w:val="19"/>
          <w:szCs w:val="19"/>
        </w:rPr>
        <w:lastRenderedPageBreak/>
        <w:t xml:space="preserve">častíc, hluku a vibrácií. </w:t>
      </w:r>
      <w:r w:rsidR="00B24207" w:rsidRPr="00B24207">
        <w:rPr>
          <w:rFonts w:ascii="Arial" w:hAnsi="Arial" w:cs="Arial"/>
          <w:color w:val="000000" w:themeColor="text1"/>
          <w:sz w:val="19"/>
          <w:szCs w:val="19"/>
        </w:rPr>
        <w:t>Z pohľadu financovania možno v rámci IROP za nosné považovať infraštruktúrne opatrenia do VOD a nemotorovej dopravy, ktorých cieľom je zvýšenie atraktivity VOD a nemotorovej dopravy, čo prinesie veľké množstvo benefitov pre mestá, obce, cestujúcu verejnosť a v neposlednom rade pre kvalitu životného prostredia</w:t>
      </w:r>
      <w:r w:rsidR="00B24207" w:rsidRPr="00795D8F">
        <w:rPr>
          <w:rFonts w:ascii="Arial" w:hAnsi="Arial" w:cs="Arial"/>
        </w:rPr>
        <w:t>.</w:t>
      </w:r>
    </w:p>
    <w:p w14:paraId="64CC000A" w14:textId="3EF1C82C" w:rsidR="00944D9F" w:rsidRPr="00944D9F" w:rsidRDefault="00944D9F" w:rsidP="00944D9F">
      <w:pPr>
        <w:spacing w:after="120"/>
        <w:jc w:val="both"/>
        <w:rPr>
          <w:rFonts w:ascii="Arial" w:hAnsi="Arial" w:cs="Arial"/>
          <w:color w:val="000000" w:themeColor="text1"/>
          <w:sz w:val="19"/>
          <w:szCs w:val="19"/>
        </w:rPr>
      </w:pPr>
    </w:p>
    <w:p w14:paraId="6E8C17EB" w14:textId="34A2CE2A" w:rsidR="00EA7014" w:rsidRDefault="00EA7014" w:rsidP="00F043AE">
      <w:pPr>
        <w:spacing w:before="120" w:after="120" w:line="288" w:lineRule="auto"/>
        <w:jc w:val="both"/>
        <w:rPr>
          <w:rFonts w:ascii="Arial" w:hAnsi="Arial" w:cs="Arial"/>
          <w:color w:val="000000" w:themeColor="text1"/>
          <w:sz w:val="19"/>
          <w:szCs w:val="19"/>
        </w:rPr>
      </w:pPr>
      <w:r w:rsidRPr="00EA7014">
        <w:rPr>
          <w:rFonts w:ascii="Arial" w:hAnsi="Arial" w:cs="Arial"/>
          <w:color w:val="000000" w:themeColor="text1"/>
          <w:sz w:val="19"/>
          <w:szCs w:val="19"/>
        </w:rPr>
        <w:t>.</w:t>
      </w:r>
    </w:p>
    <w:p w14:paraId="38272AD5" w14:textId="77777777" w:rsidR="00621A84" w:rsidRPr="00FB4F69" w:rsidRDefault="00621A84" w:rsidP="00B24207">
      <w:pPr>
        <w:numPr>
          <w:ilvl w:val="0"/>
          <w:numId w:val="33"/>
        </w:numPr>
        <w:spacing w:before="120" w:after="120" w:line="288" w:lineRule="auto"/>
        <w:ind w:left="709"/>
        <w:jc w:val="both"/>
        <w:rPr>
          <w:rFonts w:ascii="Arial" w:hAnsi="Arial" w:cs="Arial"/>
          <w:color w:val="000000" w:themeColor="text1"/>
          <w:sz w:val="19"/>
          <w:szCs w:val="19"/>
        </w:rPr>
      </w:pPr>
      <w:r w:rsidRPr="00FB4F69">
        <w:rPr>
          <w:rFonts w:ascii="Arial" w:hAnsi="Arial" w:cs="Arial"/>
          <w:b/>
          <w:color w:val="000000" w:themeColor="text1"/>
          <w:sz w:val="19"/>
          <w:szCs w:val="19"/>
        </w:rPr>
        <w:t xml:space="preserve">súlad cieľov projektu s očakávanými výsledkami IROP </w:t>
      </w:r>
    </w:p>
    <w:p w14:paraId="51A30FFC" w14:textId="11C180FC" w:rsidR="00621A84" w:rsidRPr="00FB4F69" w:rsidRDefault="00621A84" w:rsidP="008B1F42">
      <w:pPr>
        <w:rPr>
          <w:rFonts w:ascii="Arial" w:hAnsi="Arial" w:cs="Arial"/>
          <w:bCs/>
          <w:color w:val="000000" w:themeColor="text1"/>
          <w:sz w:val="19"/>
          <w:szCs w:val="19"/>
        </w:rPr>
      </w:pPr>
      <w:r w:rsidRPr="00FB4F69">
        <w:rPr>
          <w:rFonts w:ascii="Arial" w:hAnsi="Arial" w:cs="Arial"/>
          <w:bCs/>
          <w:color w:val="000000" w:themeColor="text1"/>
          <w:sz w:val="19"/>
          <w:szCs w:val="19"/>
        </w:rPr>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w:t>
      </w:r>
      <w:r w:rsidR="00B24486">
        <w:rPr>
          <w:rFonts w:ascii="Arial" w:hAnsi="Arial" w:cs="Arial"/>
          <w:color w:val="000000" w:themeColor="text1"/>
          <w:sz w:val="19"/>
          <w:szCs w:val="19"/>
        </w:rPr>
        <w:t>1</w:t>
      </w:r>
      <w:r w:rsidR="008B1F42" w:rsidRPr="00FB4F69">
        <w:rPr>
          <w:rFonts w:ascii="Arial" w:hAnsi="Arial" w:cs="Arial"/>
          <w:color w:val="000000" w:themeColor="text1"/>
          <w:sz w:val="19"/>
          <w:szCs w:val="19"/>
        </w:rPr>
        <w:t>.</w:t>
      </w:r>
      <w:r w:rsidRPr="00FB4F69">
        <w:rPr>
          <w:rFonts w:ascii="Arial" w:hAnsi="Arial" w:cs="Arial"/>
          <w:color w:val="000000" w:themeColor="text1"/>
          <w:sz w:val="19"/>
          <w:szCs w:val="19"/>
        </w:rPr>
        <w:t xml:space="preserve"> </w:t>
      </w:r>
      <w:r w:rsidR="008B1F42" w:rsidRPr="00FB4F69">
        <w:rPr>
          <w:rFonts w:ascii="Arial" w:hAnsi="Arial" w:cs="Arial"/>
          <w:color w:val="000000" w:themeColor="text1"/>
          <w:sz w:val="19"/>
          <w:szCs w:val="19"/>
        </w:rPr>
        <w:t xml:space="preserve">- </w:t>
      </w:r>
      <w:r w:rsidR="00B24486">
        <w:rPr>
          <w:rFonts w:ascii="Arial" w:hAnsi="Arial" w:cs="Arial"/>
          <w:color w:val="000000" w:themeColor="text1"/>
          <w:sz w:val="19"/>
          <w:szCs w:val="19"/>
        </w:rPr>
        <w:t xml:space="preserve">Zvýšenie </w:t>
      </w:r>
      <w:r w:rsidR="00B24486" w:rsidRPr="00944D9F">
        <w:rPr>
          <w:rFonts w:ascii="Arial" w:hAnsi="Arial" w:cs="Arial"/>
          <w:color w:val="000000" w:themeColor="text1"/>
          <w:sz w:val="19"/>
          <w:szCs w:val="19"/>
        </w:rPr>
        <w:t>atraktivity a konkurencieschopnosti verejnej osobnej dopravy</w:t>
      </w:r>
      <w:r w:rsidR="008B1F42" w:rsidRPr="00FB4F69">
        <w:rPr>
          <w:rFonts w:ascii="Arial" w:hAnsi="Arial" w:cs="Arial"/>
          <w:color w:val="000000" w:themeColor="text1"/>
          <w:sz w:val="19"/>
          <w:szCs w:val="19"/>
        </w:rPr>
        <w:t xml:space="preserve">, ktoré sú </w:t>
      </w:r>
      <w:r w:rsidRPr="00FB4F69">
        <w:rPr>
          <w:rFonts w:ascii="Arial" w:hAnsi="Arial" w:cs="Arial"/>
          <w:color w:val="000000" w:themeColor="text1"/>
          <w:sz w:val="19"/>
          <w:szCs w:val="19"/>
        </w:rPr>
        <w:t>definované nasledovne: </w:t>
      </w:r>
    </w:p>
    <w:p w14:paraId="4B0992B4" w14:textId="77777777" w:rsidR="00944D9F" w:rsidRPr="00944D9F" w:rsidRDefault="00944D9F" w:rsidP="00944D9F">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944D9F">
        <w:rPr>
          <w:rFonts w:ascii="Arial" w:eastAsiaTheme="minorHAnsi" w:hAnsi="Arial" w:cs="Arial"/>
          <w:color w:val="000000" w:themeColor="text1"/>
          <w:sz w:val="19"/>
          <w:szCs w:val="19"/>
          <w:lang w:val="sk-SK" w:bidi="ar-SA"/>
        </w:rPr>
        <w:t>zvýšenie počtu osôb prepravených integrovanou VOD prostredníctvom zatraktívnenia VOD (realizáciou infraštruktúrnych, organizačných a prevádzkových opatrení),</w:t>
      </w:r>
    </w:p>
    <w:p w14:paraId="18757AB3" w14:textId="494DE53F" w:rsidR="008B1F42" w:rsidRPr="00FB4F69" w:rsidRDefault="00944D9F" w:rsidP="00944D9F">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944D9F">
        <w:rPr>
          <w:rFonts w:ascii="Arial" w:eastAsiaTheme="minorHAnsi" w:hAnsi="Arial" w:cs="Arial"/>
          <w:color w:val="000000" w:themeColor="text1"/>
          <w:sz w:val="19"/>
          <w:szCs w:val="19"/>
          <w:lang w:val="sk-SK" w:bidi="ar-SA"/>
        </w:rPr>
        <w:t>zmena deľby prepravnej práce v prospech ekologicky priaznivejších módov dopravy</w:t>
      </w:r>
      <w:r w:rsidR="008B1F42" w:rsidRPr="00FB4F69">
        <w:rPr>
          <w:rFonts w:ascii="Arial" w:eastAsiaTheme="minorHAnsi" w:hAnsi="Arial" w:cs="Arial"/>
          <w:color w:val="000000" w:themeColor="text1"/>
          <w:sz w:val="19"/>
          <w:szCs w:val="19"/>
          <w:lang w:val="sk-SK" w:bidi="ar-SA"/>
        </w:rPr>
        <w:t>.</w:t>
      </w:r>
    </w:p>
    <w:p w14:paraId="4AF5C3BE" w14:textId="77777777" w:rsidR="00621A84" w:rsidRPr="00FB4F69" w:rsidRDefault="00621A84" w:rsidP="00621A84">
      <w:pPr>
        <w:numPr>
          <w:ilvl w:val="0"/>
          <w:numId w:val="3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F043AE">
      <w:pPr>
        <w:spacing w:before="120" w:after="120" w:line="288" w:lineRule="auto"/>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12FC1DC5" w14:textId="607843BF" w:rsidR="00944D9F" w:rsidRPr="00060012" w:rsidRDefault="00944D9F" w:rsidP="00944D9F">
      <w:pPr>
        <w:pStyle w:val="Odsekzoznamu"/>
        <w:numPr>
          <w:ilvl w:val="0"/>
          <w:numId w:val="34"/>
        </w:numPr>
        <w:spacing w:before="120" w:after="120" w:line="288" w:lineRule="auto"/>
        <w:jc w:val="both"/>
        <w:rPr>
          <w:rFonts w:ascii="Arial" w:hAnsi="Arial" w:cs="Arial"/>
          <w:i/>
          <w:color w:val="000000" w:themeColor="text1"/>
          <w:sz w:val="19"/>
          <w:szCs w:val="19"/>
          <w:lang w:val="sk-SK"/>
        </w:rPr>
      </w:pPr>
      <w:r w:rsidRPr="00060012">
        <w:rPr>
          <w:rFonts w:ascii="Arial" w:hAnsi="Arial" w:cs="Arial"/>
          <w:i/>
          <w:color w:val="000000" w:themeColor="text1"/>
          <w:sz w:val="19"/>
          <w:szCs w:val="19"/>
          <w:lang w:val="sk-SK"/>
        </w:rPr>
        <w:t xml:space="preserve">zabezpečenie moderných tarifných, informačných a dispečerských systémov, zlepšenie informovanosti cestujúcich a zlepšenie informačného </w:t>
      </w:r>
      <w:r w:rsidRPr="00060012">
        <w:rPr>
          <w:rFonts w:ascii="Arial" w:hAnsi="Arial" w:cs="Arial"/>
          <w:i/>
          <w:color w:val="000000" w:themeColor="text1"/>
          <w:sz w:val="19"/>
          <w:szCs w:val="19"/>
          <w:lang w:val="sk-SK"/>
        </w:rPr>
        <w:br/>
        <w:t>a oznamovacieho systému,</w:t>
      </w:r>
    </w:p>
    <w:p w14:paraId="7D957285" w14:textId="2A50A73E"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modernizácia existujúcich a zavádzanie nových integrovaných dopravných systémov  - technická podpora softvérového zabezpečenia</w:t>
      </w:r>
      <w:r w:rsidRPr="00B24207">
        <w:rPr>
          <w:color w:val="000000" w:themeColor="text1"/>
          <w:sz w:val="19"/>
          <w:szCs w:val="19"/>
          <w:lang w:val="sk-SK"/>
        </w:rPr>
        <w:endnoteReference w:id="1"/>
      </w:r>
      <w:r w:rsidRPr="00B24207">
        <w:rPr>
          <w:rFonts w:ascii="Arial" w:hAnsi="Arial" w:cs="Arial"/>
          <w:color w:val="000000" w:themeColor="text1"/>
          <w:sz w:val="19"/>
          <w:szCs w:val="19"/>
          <w:lang w:val="sk-SK"/>
        </w:rPr>
        <w:t xml:space="preserve"> ako aj hardvérového vybavenia;</w:t>
      </w:r>
    </w:p>
    <w:p w14:paraId="69575808" w14:textId="732CB50F"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 xml:space="preserve">podpora informovanosti verejnosti s cieľom zvyšovania atraktivity verejnej osobnej dopravy. </w:t>
      </w:r>
    </w:p>
    <w:p w14:paraId="00CBD028" w14:textId="3EB71150"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zavádzanie doplnkových služieb verejnej osobnej dopravy;</w:t>
      </w:r>
    </w:p>
    <w:p w14:paraId="6D0ECFD4" w14:textId="73AB075E" w:rsidR="00944D9F" w:rsidRPr="00060012" w:rsidRDefault="00944D9F" w:rsidP="00944D9F">
      <w:pPr>
        <w:pStyle w:val="Odsekzoznamu"/>
        <w:numPr>
          <w:ilvl w:val="0"/>
          <w:numId w:val="34"/>
        </w:numPr>
        <w:spacing w:before="120" w:after="120" w:line="288" w:lineRule="auto"/>
        <w:jc w:val="both"/>
        <w:rPr>
          <w:rFonts w:ascii="Arial" w:hAnsi="Arial" w:cs="Arial"/>
          <w:i/>
          <w:color w:val="000000" w:themeColor="text1"/>
          <w:sz w:val="19"/>
          <w:szCs w:val="19"/>
          <w:lang w:val="sk-SK"/>
        </w:rPr>
      </w:pPr>
      <w:r w:rsidRPr="00060012">
        <w:rPr>
          <w:rFonts w:ascii="Arial" w:hAnsi="Arial" w:cs="Arial"/>
          <w:i/>
          <w:color w:val="000000" w:themeColor="text1"/>
          <w:sz w:val="19"/>
          <w:szCs w:val="19"/>
          <w:lang w:val="sk-SK"/>
        </w:rPr>
        <w:t>zlepšenie infraštruktúry verejnej osobnej dopravy tak, ako je uvedené v miestnych/regionálnych plánoch udržateľnej dopravy,</w:t>
      </w:r>
    </w:p>
    <w:p w14:paraId="49BC3949" w14:textId="77777777"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 xml:space="preserve">obnova a budovanie vyhradených jazdných pruhov pre verejnú osobnú dopravu; </w:t>
      </w:r>
    </w:p>
    <w:p w14:paraId="54EE85A7" w14:textId="70176160"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rekonštrukcia, modernizácia a výstavba prestupných uzlov</w:t>
      </w:r>
      <w:r w:rsidRPr="00B24207">
        <w:rPr>
          <w:color w:val="000000" w:themeColor="text1"/>
          <w:sz w:val="19"/>
          <w:szCs w:val="19"/>
          <w:lang w:val="sk-SK"/>
        </w:rPr>
        <w:endnoteReference w:id="2"/>
      </w:r>
      <w:r w:rsidRPr="00B24207">
        <w:rPr>
          <w:rFonts w:ascii="Arial" w:hAnsi="Arial" w:cs="Arial"/>
          <w:color w:val="000000" w:themeColor="text1"/>
          <w:sz w:val="19"/>
          <w:szCs w:val="19"/>
          <w:lang w:val="sk-SK"/>
        </w:rPr>
        <w:t>, okrem uzlov so zásahom do železničnej infraštruktúry;</w:t>
      </w:r>
    </w:p>
    <w:p w14:paraId="5D8A333B" w14:textId="4BFF97D6"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rekonštrukcia, modernizácia a výstavba zastávok cestnej verejnej osobnej dopravy a integrovaných zastávok subsystémov verejnej osobnej dopravy;</w:t>
      </w:r>
    </w:p>
    <w:p w14:paraId="19DC36ED" w14:textId="77777777"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rekonštrukcia, modernizácia a výstavba obratísk cestnej verejnej osobnej dopravy;</w:t>
      </w:r>
    </w:p>
    <w:p w14:paraId="3033E96E" w14:textId="3535E823"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rekonštrukcia, modernizácia a výstavba záchytných parkovísk Park &amp; Ride (P+R), Kiss &amp; Ride (K+R), Bike &amp; Ride (B+R) a inštalácia systému chytrého parkovania v atraktívnych oblastiach miest;</w:t>
      </w:r>
    </w:p>
    <w:p w14:paraId="528EF7CD" w14:textId="77777777"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zavádzanie opatrení preferencie verejnej osobnej dopravy.</w:t>
      </w:r>
    </w:p>
    <w:p w14:paraId="6C47D9DF" w14:textId="2E664810" w:rsidR="00944D9F" w:rsidRPr="00060012" w:rsidRDefault="00944D9F" w:rsidP="00944D9F">
      <w:pPr>
        <w:pStyle w:val="Odsekzoznamu"/>
        <w:numPr>
          <w:ilvl w:val="0"/>
          <w:numId w:val="34"/>
        </w:numPr>
        <w:spacing w:before="120" w:after="120" w:line="288" w:lineRule="auto"/>
        <w:jc w:val="both"/>
        <w:rPr>
          <w:rFonts w:ascii="Arial" w:hAnsi="Arial" w:cs="Arial"/>
          <w:i/>
          <w:color w:val="000000" w:themeColor="text1"/>
          <w:sz w:val="19"/>
          <w:szCs w:val="19"/>
          <w:lang w:val="sk-SK"/>
        </w:rPr>
      </w:pPr>
      <w:r w:rsidRPr="00060012">
        <w:rPr>
          <w:rFonts w:ascii="Arial" w:hAnsi="Arial" w:cs="Arial"/>
          <w:i/>
          <w:color w:val="000000" w:themeColor="text1"/>
          <w:sz w:val="19"/>
          <w:szCs w:val="19"/>
          <w:lang w:val="sk-SK"/>
        </w:rPr>
        <w:t>zlepšenie kvality vozidlového parku autobusovej dopravy.</w:t>
      </w:r>
    </w:p>
    <w:p w14:paraId="2CD4597E" w14:textId="77777777"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nákup a náhrada autobusov mestskej hromadnej dopravy a/alebo prímestskej autobusovej dopravy vysokoenvironmentálnymi nízkopodlažnými autobusmi na alternatívny pohon spolu s budovaním zodpovedajúcej zásobovacej infraštruktúry.</w:t>
      </w:r>
    </w:p>
    <w:p w14:paraId="052F09FF" w14:textId="39F40569" w:rsidR="00621A84" w:rsidRPr="00FB4F69" w:rsidRDefault="00621A84" w:rsidP="00621A84">
      <w:pPr>
        <w:numPr>
          <w:ilvl w:val="0"/>
          <w:numId w:val="34"/>
        </w:numPr>
        <w:spacing w:before="120" w:after="120" w:line="288" w:lineRule="auto"/>
        <w:jc w:val="both"/>
        <w:rPr>
          <w:rFonts w:ascii="Arial" w:hAnsi="Arial" w:cs="Arial"/>
          <w:b/>
          <w:bCs/>
          <w:color w:val="000000" w:themeColor="text1"/>
          <w:sz w:val="19"/>
          <w:szCs w:val="19"/>
        </w:rPr>
      </w:pPr>
      <w:r w:rsidRPr="00FB4F69">
        <w:rPr>
          <w:rFonts w:ascii="Arial" w:hAnsi="Arial" w:cs="Arial"/>
          <w:b/>
          <w:bCs/>
          <w:color w:val="000000" w:themeColor="text1"/>
          <w:sz w:val="19"/>
          <w:szCs w:val="19"/>
        </w:rPr>
        <w:t xml:space="preserve">súlad projektu s hlavnými zásadami výberu operácií pre SC </w:t>
      </w:r>
      <w:r w:rsidR="008B1F42" w:rsidRPr="00FB4F69">
        <w:rPr>
          <w:rFonts w:ascii="Arial" w:hAnsi="Arial" w:cs="Arial"/>
          <w:b/>
          <w:bCs/>
          <w:color w:val="000000" w:themeColor="text1"/>
          <w:sz w:val="19"/>
          <w:szCs w:val="19"/>
        </w:rPr>
        <w:t>7.</w:t>
      </w:r>
      <w:r w:rsidR="00A560B5">
        <w:rPr>
          <w:rFonts w:ascii="Arial" w:hAnsi="Arial" w:cs="Arial"/>
          <w:b/>
          <w:bCs/>
          <w:color w:val="000000" w:themeColor="text1"/>
          <w:sz w:val="19"/>
          <w:szCs w:val="19"/>
        </w:rPr>
        <w:t>1</w:t>
      </w:r>
      <w:r w:rsidR="008B1F42" w:rsidRPr="00FB4F69">
        <w:rPr>
          <w:rFonts w:ascii="Arial" w:hAnsi="Arial" w:cs="Arial"/>
          <w:b/>
          <w:bCs/>
          <w:color w:val="000000" w:themeColor="text1"/>
          <w:sz w:val="19"/>
          <w:szCs w:val="19"/>
        </w:rPr>
        <w:t>.</w:t>
      </w:r>
    </w:p>
    <w:p w14:paraId="642D2090" w14:textId="2C453113" w:rsidR="00F043AE" w:rsidRPr="00FB4F69" w:rsidRDefault="00621A84" w:rsidP="00F043AE">
      <w:pPr>
        <w:pStyle w:val="Odsekzoznamu"/>
        <w:spacing w:before="120" w:after="120" w:line="288" w:lineRule="auto"/>
        <w:ind w:left="0"/>
        <w:jc w:val="both"/>
        <w:rPr>
          <w:rFonts w:ascii="Arial" w:hAnsi="Arial" w:cs="Arial"/>
          <w:b/>
          <w:color w:val="000000" w:themeColor="text1"/>
          <w:sz w:val="19"/>
          <w:szCs w:val="19"/>
          <w:lang w:val="sk-SK"/>
        </w:rPr>
      </w:pPr>
      <w:r w:rsidRPr="00FB4F69">
        <w:rPr>
          <w:rFonts w:ascii="Arial" w:hAnsi="Arial" w:cs="Arial"/>
          <w:color w:val="000000" w:themeColor="text1"/>
          <w:sz w:val="19"/>
          <w:szCs w:val="19"/>
          <w:lang w:val="sk-SK"/>
        </w:rPr>
        <w:t>Hodnotí sa (áno/nie), či je ŽoNFP v súlade s nižšie uvedenými zásadami výberu operácií. ŽoNFP musí byť v súlade so zásadami výberu operácií, ktoré sú relevantné pre projekt, a to primerane a v kontexte podmienok výzvy:</w:t>
      </w:r>
    </w:p>
    <w:p w14:paraId="2C4234A6" w14:textId="77777777" w:rsidR="00060012" w:rsidRPr="00060012" w:rsidRDefault="00060012" w:rsidP="00060012">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060012">
        <w:rPr>
          <w:rFonts w:ascii="Arial" w:hAnsi="Arial" w:cs="Arial"/>
          <w:color w:val="000000" w:themeColor="text1"/>
          <w:sz w:val="19"/>
          <w:szCs w:val="19"/>
          <w:lang w:val="sk-SK"/>
        </w:rPr>
        <w:t>opatrenia v rámci špecifického cieľa 7.1. sú podmienené existenciou regionálneho/miestneho plánu udržateľnej mobility a plánu dopravnej obsluhy,</w:t>
      </w:r>
    </w:p>
    <w:p w14:paraId="02EA8A38" w14:textId="77777777" w:rsidR="00060012" w:rsidRPr="00060012" w:rsidRDefault="00060012" w:rsidP="00060012">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060012">
        <w:rPr>
          <w:rFonts w:ascii="Arial" w:hAnsi="Arial" w:cs="Arial"/>
          <w:color w:val="000000" w:themeColor="text1"/>
          <w:sz w:val="19"/>
          <w:szCs w:val="19"/>
          <w:lang w:val="sk-SK"/>
        </w:rPr>
        <w:t>projekt prispieva k presunu cestujúcich z IAD do MHD/PAD/nemotorovej dopravy,</w:t>
      </w:r>
    </w:p>
    <w:p w14:paraId="7AC52583" w14:textId="77777777" w:rsidR="00060012" w:rsidRPr="00060012" w:rsidRDefault="00060012" w:rsidP="00060012">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060012">
        <w:rPr>
          <w:rFonts w:ascii="Arial" w:hAnsi="Arial" w:cs="Arial"/>
          <w:color w:val="000000" w:themeColor="text1"/>
          <w:sz w:val="19"/>
          <w:szCs w:val="19"/>
          <w:lang w:val="sk-SK"/>
        </w:rPr>
        <w:t>projekt obsahuje prvky pre elimináciu negatívnych vplyvov dopravy na životné prostredie.</w:t>
      </w:r>
    </w:p>
    <w:p w14:paraId="564A7108" w14:textId="7247B4EB" w:rsidR="00621A84" w:rsidRPr="008005CD" w:rsidRDefault="00621A84" w:rsidP="00B24207">
      <w:pPr>
        <w:numPr>
          <w:ilvl w:val="0"/>
          <w:numId w:val="34"/>
        </w:numPr>
        <w:spacing w:before="120" w:after="120" w:line="288" w:lineRule="auto"/>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r w:rsidR="00A560B5">
        <w:rPr>
          <w:rFonts w:ascii="Arial" w:hAnsi="Arial" w:cs="Arial"/>
          <w:b/>
          <w:bCs/>
          <w:color w:val="000000" w:themeColor="text1"/>
          <w:sz w:val="19"/>
          <w:szCs w:val="19"/>
        </w:rPr>
        <w:t xml:space="preserve"> </w:t>
      </w:r>
      <w:r w:rsidR="00A560B5" w:rsidRPr="00B24207">
        <w:rPr>
          <w:rFonts w:ascii="Arial" w:hAnsi="Arial" w:cs="Arial"/>
          <w:b/>
          <w:bCs/>
          <w:color w:val="000000" w:themeColor="text1"/>
          <w:sz w:val="19"/>
          <w:szCs w:val="19"/>
        </w:rPr>
        <w:t>(ak relevantné)</w:t>
      </w:r>
    </w:p>
    <w:p w14:paraId="00DF1687" w14:textId="77777777" w:rsidR="00621A84" w:rsidRPr="00287F64"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lastRenderedPageBreak/>
        <w:t>Hodnotiteľ posúdi (áno/nie), či je navrhované technické riešenie v súlade s princípmi energetickej efektívnosti budov uplatňovaných pre sektor verejných budov v zmysle IROP, najmä:</w:t>
      </w:r>
    </w:p>
    <w:p w14:paraId="096FEBA0" w14:textId="77777777"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xml:space="preserve">. Ak nie je splnenie minimálnych požiadaviek na primárnu energiu (globálny ukazovateľ) resp. ostatných ukazovateľov uskutočniteľné, musí byť táto skutočnosť odôvodnená odborne spôsobilou osobou pre energetickú certifikáciu budov (v rámci prílohy ŽoNFP - </w:t>
      </w:r>
      <w:r w:rsidRPr="00EA7014">
        <w:rPr>
          <w:rFonts w:ascii="Arial" w:hAnsi="Arial" w:cs="Arial"/>
          <w:sz w:val="19"/>
          <w:szCs w:val="19"/>
          <w:lang w:val="sk-SK"/>
        </w:rPr>
        <w:t>Projektová dokumentácia stavby),</w:t>
      </w:r>
    </w:p>
    <w:p w14:paraId="25AEFD8B" w14:textId="73E49F22"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podpora, vrátane obnovy historických budov, je podmienená predložením energetického auditu, na z</w:t>
      </w:r>
      <w:r w:rsidR="00366F27" w:rsidRPr="00EA7014">
        <w:rPr>
          <w:rFonts w:ascii="Arial" w:hAnsi="Arial" w:cs="Arial"/>
          <w:sz w:val="19"/>
          <w:szCs w:val="19"/>
          <w:lang w:val="sk-SK"/>
        </w:rPr>
        <w:t>áklade ktorého hodnotiteľ overí,</w:t>
      </w:r>
    </w:p>
    <w:p w14:paraId="4541871D"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výpočet plánovaného ročného objemu úspory PEZ na m2 celkovej podlahovej plochy,</w:t>
      </w:r>
    </w:p>
    <w:p w14:paraId="7DE93BE9"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technickú uskutočniteľnosť navrhovaných energetických opatrení,</w:t>
      </w:r>
    </w:p>
    <w:p w14:paraId="77AC5007" w14:textId="2A866150" w:rsidR="00621A84" w:rsidRPr="00EA7014" w:rsidRDefault="00621A84" w:rsidP="00621A84">
      <w:pPr>
        <w:pStyle w:val="Odsekzoznamu"/>
        <w:numPr>
          <w:ilvl w:val="0"/>
          <w:numId w:val="43"/>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w:t>
      </w:r>
      <w:r w:rsidR="00366F27" w:rsidRPr="00EA7014">
        <w:rPr>
          <w:rFonts w:ascii="Arial" w:hAnsi="Arial" w:cs="Arial"/>
          <w:sz w:val="19"/>
          <w:szCs w:val="19"/>
          <w:lang w:val="sk-SK"/>
        </w:rPr>
        <w:t xml:space="preserve"> podporené.</w:t>
      </w:r>
    </w:p>
    <w:p w14:paraId="28871C73" w14:textId="48CFC534" w:rsidR="00621A84"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t>Hodnotiteľ pr</w:t>
      </w:r>
      <w:r>
        <w:rPr>
          <w:rFonts w:ascii="Arial" w:hAnsi="Arial" w:cs="Arial"/>
          <w:sz w:val="19"/>
          <w:szCs w:val="19"/>
        </w:rPr>
        <w:t>e účely hodnotenia využíva pln</w:t>
      </w:r>
      <w:r w:rsidRPr="00287F64">
        <w:rPr>
          <w:rFonts w:ascii="Arial" w:hAnsi="Arial" w:cs="Arial"/>
          <w:sz w:val="19"/>
          <w:szCs w:val="19"/>
        </w:rPr>
        <w:t xml:space="preserve">é znenie princípov energetickej efektívnosti uvedené v IROP v časti 2.4.1.2. Hlavné zásady výberu operácií. V prípade, že v projekte nie sú navrhované aktivity zamerané na zvýšenie energetickej hospodárnosti budov </w:t>
      </w:r>
      <w:r w:rsidR="00FC1A03">
        <w:rPr>
          <w:rFonts w:ascii="Arial" w:hAnsi="Arial" w:cs="Arial"/>
          <w:sz w:val="19"/>
          <w:szCs w:val="19"/>
        </w:rPr>
        <w:t>základných</w:t>
      </w:r>
      <w:r w:rsidRPr="00287F64">
        <w:rPr>
          <w:rFonts w:ascii="Arial" w:hAnsi="Arial" w:cs="Arial"/>
          <w:sz w:val="19"/>
          <w:szCs w:val="19"/>
        </w:rPr>
        <w:t xml:space="preserve"> škôl, hodnotiteľ uvedené nehodnotí.</w:t>
      </w:r>
    </w:p>
    <w:p w14:paraId="0F44F992" w14:textId="32DF4E32" w:rsidR="00A560B5" w:rsidRPr="00A00F0C" w:rsidRDefault="00A560B5" w:rsidP="00A560B5">
      <w:pPr>
        <w:spacing w:before="120" w:after="120" w:line="288" w:lineRule="auto"/>
        <w:jc w:val="both"/>
        <w:rPr>
          <w:rFonts w:ascii="Arial" w:hAnsi="Arial" w:cs="Arial"/>
          <w:color w:val="000000" w:themeColor="text1"/>
          <w:sz w:val="19"/>
          <w:szCs w:val="19"/>
        </w:rPr>
      </w:pPr>
      <w:r w:rsidRPr="00043A24">
        <w:rPr>
          <w:rFonts w:ascii="Arial" w:hAnsi="Arial" w:cs="Arial"/>
          <w:color w:val="000000" w:themeColor="text1"/>
          <w:sz w:val="19"/>
          <w:szCs w:val="19"/>
        </w:rPr>
        <w:t>V prípade výziev, v ktorých sú oprávnené len tie projekty, ktoré predstavujú „bezpečné/isté“ riešenia pre akýkoľvek strategický rozvojový dokument pre oblasť dopravy a/alebo sú už dostatočne odôvodnené národnou dopravnou stratégiou nie je potrebné ich zadefinovanie v pláne udržateľnej mobility. Hodnotiteľ uvedené úseky vyhodnotí na základe príloh ŽoNFP - Stanoviska RO pre IROP týkajúce sa splnenia parametrov „bezpečných/istých“ projektov</w:t>
      </w:r>
      <w:r w:rsidR="006E371B" w:rsidRPr="00043A24">
        <w:rPr>
          <w:rFonts w:ascii="Arial" w:hAnsi="Arial" w:cs="Arial"/>
          <w:color w:val="000000" w:themeColor="text1"/>
          <w:sz w:val="19"/>
          <w:szCs w:val="19"/>
        </w:rPr>
        <w:t xml:space="preserve"> (ak relevantné)</w:t>
      </w:r>
      <w:r w:rsidRPr="00043A24">
        <w:rPr>
          <w:rFonts w:ascii="Arial" w:hAnsi="Arial" w:cs="Arial"/>
          <w:color w:val="000000" w:themeColor="text1"/>
          <w:sz w:val="19"/>
          <w:szCs w:val="19"/>
        </w:rPr>
        <w:t>.</w:t>
      </w:r>
    </w:p>
    <w:p w14:paraId="25682E55" w14:textId="77777777" w:rsidR="00BE7BB7" w:rsidRDefault="00621A84" w:rsidP="00BE7BB7">
      <w:pPr>
        <w:spacing w:before="120" w:after="120" w:line="288" w:lineRule="auto"/>
        <w:jc w:val="both"/>
        <w:rPr>
          <w:rFonts w:ascii="Arial" w:eastAsia="Helvetica" w:hAnsi="Arial" w:cs="Arial"/>
          <w:color w:val="000000" w:themeColor="text1"/>
          <w:sz w:val="19"/>
          <w:szCs w:val="19"/>
        </w:rPr>
      </w:pPr>
      <w:r w:rsidRPr="00EA7014">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r w:rsidR="005B5940" w:rsidRPr="00F93B3F">
        <w:rPr>
          <w:rFonts w:ascii="Arial" w:eastAsia="Helvetica" w:hAnsi="Arial" w:cs="Arial"/>
          <w:color w:val="000000" w:themeColor="text1"/>
          <w:sz w:val="19"/>
          <w:szCs w:val="19"/>
        </w:rPr>
        <w:tab/>
      </w:r>
    </w:p>
    <w:tbl>
      <w:tblPr>
        <w:tblStyle w:val="TableGrid2"/>
        <w:tblW w:w="4973" w:type="pct"/>
        <w:tblLook w:val="04A0" w:firstRow="1" w:lastRow="0" w:firstColumn="1" w:lastColumn="0" w:noHBand="0" w:noVBand="1"/>
      </w:tblPr>
      <w:tblGrid>
        <w:gridCol w:w="582"/>
        <w:gridCol w:w="14723"/>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3E974740" w14:textId="77777777" w:rsidTr="00BE7BB7">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24952705" w14:textId="1D6DD8CD"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906C2D3"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079FBA7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CA5F4" w14:textId="4946555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D67CD2" w:rsidRPr="00F93B3F" w14:paraId="65D3AC25" w14:textId="77777777" w:rsidTr="00BE7BB7">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C105CE2"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DF61D6C" w14:textId="512BA33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D67CD2" w:rsidRPr="00F93B3F" w14:paraId="1745B73B" w14:textId="77777777" w:rsidTr="00BE7BB7">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F0DEF68"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4A634D6" w14:textId="226C201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1A404A7" w14:textId="77777777" w:rsidR="00621A84" w:rsidRPr="00D952E3" w:rsidRDefault="00621A84" w:rsidP="00621A84">
      <w:pPr>
        <w:pStyle w:val="Odsekzoznamu"/>
        <w:numPr>
          <w:ilvl w:val="0"/>
          <w:numId w:val="3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Pr>
          <w:rFonts w:ascii="Arial" w:hAnsi="Arial" w:cs="Arial"/>
          <w:color w:val="000000" w:themeColor="text1"/>
          <w:sz w:val="19"/>
          <w:szCs w:val="19"/>
          <w:lang w:val="sk-SK"/>
        </w:rPr>
        <w:t>adateľa,</w:t>
      </w:r>
    </w:p>
    <w:p w14:paraId="3C5361FF"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65E339B1"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59293522"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CE84088"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6F2A50BA" w14:textId="49182913"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2E64A2E4" w14:textId="57E49AEF"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82"/>
        <w:gridCol w:w="14723"/>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 xml:space="preserve">(projektový manažment, monitorovanie, financovanie, publicita, dodržiavanie ustanovení zmluvy o NFP) a odborná kapacita pre realizáciu aktivít projektu (vrátane rozdelenia kompetencií, definovania potrebných </w:t>
            </w:r>
            <w:r w:rsidRPr="00EF7063">
              <w:rPr>
                <w:rFonts w:ascii="Arial" w:hAnsi="Arial" w:cs="Arial"/>
                <w:color w:val="000000" w:themeColor="text1"/>
                <w:sz w:val="19"/>
                <w:szCs w:val="19"/>
              </w:rPr>
              <w:lastRenderedPageBreak/>
              <w:t>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lastRenderedPageBreak/>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7735BD">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44C86">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w:t>
            </w:r>
            <w:r w:rsidRPr="00F93B3F">
              <w:rPr>
                <w:rFonts w:ascii="Arial" w:eastAsia="Helvetica" w:hAnsi="Arial" w:cs="Arial"/>
                <w:color w:val="000000" w:themeColor="text1"/>
                <w:sz w:val="19"/>
                <w:szCs w:val="19"/>
              </w:rPr>
              <w:lastRenderedPageBreak/>
              <w:t xml:space="preserve">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B8A4B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C7283C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6A25467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DEF7D9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415B64A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247604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3DED920D" w14:textId="6A322F24"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lastRenderedPageBreak/>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74C63DA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4381D23" w14:textId="27C2B017" w:rsidR="00A560B5" w:rsidRDefault="00A560B5"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72EA3D3E" w14:textId="1F3C5A07" w:rsidR="00A560B5" w:rsidRDefault="00A560B5"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69568499" w14:textId="77777777" w:rsidR="00A560B5" w:rsidRDefault="00A560B5"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2"/>
        <w:tblW w:w="4973" w:type="pct"/>
        <w:tblLayout w:type="fixed"/>
        <w:tblLook w:val="04A0" w:firstRow="1" w:lastRow="0" w:firstColumn="1" w:lastColumn="0" w:noHBand="0" w:noVBand="1"/>
      </w:tblPr>
      <w:tblGrid>
        <w:gridCol w:w="603"/>
        <w:gridCol w:w="14702"/>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621A84">
      <w:pPr>
        <w:pStyle w:val="Predvolen"/>
        <w:numPr>
          <w:ilvl w:val="0"/>
          <w:numId w:val="3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r>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w:t>
      </w:r>
      <w:r w:rsidRPr="005D63D4">
        <w:rPr>
          <w:rFonts w:ascii="Arial" w:hAnsi="Arial" w:cs="Arial"/>
          <w:sz w:val="19"/>
          <w:szCs w:val="19"/>
        </w:rPr>
        <w:lastRenderedPageBreak/>
        <w:t>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benchmarkov,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083"/>
        <w:gridCol w:w="5216"/>
        <w:gridCol w:w="1162"/>
        <w:gridCol w:w="851"/>
        <w:gridCol w:w="5386"/>
      </w:tblGrid>
      <w:tr w:rsidR="00D67CD2" w:rsidRPr="00E60372" w14:paraId="13815979" w14:textId="77777777" w:rsidTr="00FF5C24">
        <w:trPr>
          <w:trHeight w:val="2031"/>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lastRenderedPageBreak/>
              <w:t>4.3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388ED28" w14:textId="3609A4E8"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Finančná udržateľnosť projektu</w:t>
            </w:r>
          </w:p>
        </w:tc>
        <w:tc>
          <w:tcPr>
            <w:tcW w:w="5216" w:type="dxa"/>
            <w:vMerge w:val="restart"/>
            <w:tcBorders>
              <w:top w:val="single" w:sz="4" w:space="0" w:color="auto"/>
              <w:left w:val="single" w:sz="4" w:space="0" w:color="auto"/>
              <w:bottom w:val="single" w:sz="4" w:space="0" w:color="auto"/>
              <w:right w:val="single" w:sz="4" w:space="0" w:color="auto"/>
            </w:tcBorders>
            <w:vAlign w:val="center"/>
          </w:tcPr>
          <w:p w14:paraId="2B083139"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7455227C"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118D388" w:rsidR="00D67CD2" w:rsidRPr="00E60372" w:rsidRDefault="00D67CD2" w:rsidP="007735BD">
            <w:pPr>
              <w:widowControl w:val="0"/>
              <w:rPr>
                <w:rFonts w:ascii="Arial"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Zároveň sa </w:t>
            </w:r>
            <w:r w:rsidRPr="00E60372">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14:paraId="36638FD5" w14:textId="3077ABD9"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Vylučujúce kritérium</w:t>
            </w:r>
          </w:p>
        </w:tc>
        <w:tc>
          <w:tcPr>
            <w:tcW w:w="851" w:type="dxa"/>
            <w:tcBorders>
              <w:top w:val="single" w:sz="4" w:space="0" w:color="auto"/>
              <w:left w:val="single" w:sz="4" w:space="0" w:color="auto"/>
              <w:right w:val="single" w:sz="4" w:space="0" w:color="auto"/>
            </w:tcBorders>
            <w:vAlign w:val="center"/>
          </w:tcPr>
          <w:p w14:paraId="24919C6C" w14:textId="7A087A7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áno</w:t>
            </w:r>
          </w:p>
        </w:tc>
        <w:tc>
          <w:tcPr>
            <w:tcW w:w="5386" w:type="dxa"/>
            <w:tcBorders>
              <w:top w:val="single" w:sz="4" w:space="0" w:color="auto"/>
              <w:left w:val="single" w:sz="4" w:space="0" w:color="auto"/>
              <w:right w:val="single" w:sz="4" w:space="0" w:color="auto"/>
            </w:tcBorders>
            <w:vAlign w:val="center"/>
          </w:tcPr>
          <w:p w14:paraId="5AFC1368" w14:textId="57C9F2FB" w:rsidR="00D67CD2" w:rsidRPr="00E60372" w:rsidRDefault="00D67CD2" w:rsidP="007735BD">
            <w:pPr>
              <w:rPr>
                <w:rFonts w:ascii="Arial" w:eastAsia="Helvetica" w:hAnsi="Arial" w:cs="Arial"/>
                <w:color w:val="000000" w:themeColor="text1"/>
                <w:sz w:val="19"/>
                <w:szCs w:val="19"/>
              </w:rPr>
            </w:pPr>
            <w:r w:rsidRPr="00E60372">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67CD2" w:rsidRPr="00E60372" w14:paraId="19E30414" w14:textId="77777777" w:rsidTr="00FF5C24">
        <w:trPr>
          <w:trHeight w:val="185"/>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D67CD2" w:rsidRPr="00E60372"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D72E7B1" w14:textId="77777777" w:rsidR="00D67CD2" w:rsidRPr="00E60372" w:rsidRDefault="00D67CD2" w:rsidP="007735BD">
            <w:pPr>
              <w:rPr>
                <w:rFonts w:ascii="Arial" w:hAnsi="Arial" w:cs="Arial"/>
                <w:color w:val="000000" w:themeColor="text1"/>
                <w:sz w:val="19"/>
                <w:szCs w:val="19"/>
              </w:rPr>
            </w:pPr>
          </w:p>
        </w:tc>
        <w:tc>
          <w:tcPr>
            <w:tcW w:w="5216" w:type="dxa"/>
            <w:vMerge/>
            <w:tcBorders>
              <w:top w:val="single" w:sz="4" w:space="0" w:color="auto"/>
              <w:left w:val="single" w:sz="4" w:space="0" w:color="auto"/>
              <w:bottom w:val="single" w:sz="4" w:space="0" w:color="auto"/>
              <w:right w:val="single" w:sz="4" w:space="0" w:color="auto"/>
            </w:tcBorders>
            <w:vAlign w:val="center"/>
          </w:tcPr>
          <w:p w14:paraId="6C2F704D" w14:textId="77777777" w:rsidR="00D67CD2" w:rsidRPr="00E60372" w:rsidRDefault="00D67CD2" w:rsidP="007735BD">
            <w:pPr>
              <w:rPr>
                <w:rFonts w:ascii="Arial" w:hAnsi="Arial" w:cs="Arial"/>
                <w:color w:val="000000" w:themeColor="text1"/>
                <w:sz w:val="19"/>
                <w:szCs w:val="19"/>
                <w:u w:color="000000"/>
              </w:rPr>
            </w:pPr>
          </w:p>
        </w:tc>
        <w:tc>
          <w:tcPr>
            <w:tcW w:w="1162" w:type="dxa"/>
            <w:vMerge/>
            <w:tcBorders>
              <w:top w:val="single" w:sz="4" w:space="0" w:color="auto"/>
              <w:left w:val="single" w:sz="4" w:space="0" w:color="auto"/>
              <w:bottom w:val="single" w:sz="4" w:space="0" w:color="auto"/>
              <w:right w:val="single" w:sz="4" w:space="0" w:color="auto"/>
            </w:tcBorders>
            <w:vAlign w:val="center"/>
          </w:tcPr>
          <w:p w14:paraId="72F435AD" w14:textId="77777777" w:rsidR="00D67CD2" w:rsidRPr="00E60372" w:rsidRDefault="00D67CD2" w:rsidP="007735BD">
            <w:pPr>
              <w:jc w:val="center"/>
              <w:rPr>
                <w:rFonts w:ascii="Arial" w:hAnsi="Arial" w:cs="Arial"/>
                <w:color w:val="000000" w:themeColor="text1"/>
                <w:sz w:val="19"/>
                <w:szCs w:val="19"/>
              </w:rPr>
            </w:pPr>
          </w:p>
        </w:tc>
        <w:tc>
          <w:tcPr>
            <w:tcW w:w="851" w:type="dxa"/>
            <w:tcBorders>
              <w:top w:val="single" w:sz="4" w:space="0" w:color="auto"/>
              <w:left w:val="single" w:sz="4" w:space="0" w:color="auto"/>
              <w:bottom w:val="single" w:sz="4" w:space="0" w:color="auto"/>
              <w:right w:val="single" w:sz="4" w:space="0" w:color="auto"/>
            </w:tcBorders>
            <w:vAlign w:val="center"/>
          </w:tcPr>
          <w:p w14:paraId="1DBC29DB" w14:textId="0680A7E3"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nie</w:t>
            </w:r>
          </w:p>
        </w:tc>
        <w:tc>
          <w:tcPr>
            <w:tcW w:w="5386" w:type="dxa"/>
            <w:tcBorders>
              <w:top w:val="single" w:sz="4" w:space="0" w:color="auto"/>
              <w:left w:val="single" w:sz="4" w:space="0" w:color="auto"/>
              <w:bottom w:val="single" w:sz="4" w:space="0" w:color="auto"/>
              <w:right w:val="single" w:sz="4" w:space="0" w:color="auto"/>
            </w:tcBorders>
            <w:vAlign w:val="center"/>
          </w:tcPr>
          <w:p w14:paraId="569E81B6" w14:textId="10B56544"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E60372">
              <w:rPr>
                <w:rFonts w:ascii="Arial" w:eastAsia="Arial Unicode MS" w:hAnsi="Arial" w:cs="Arial"/>
                <w:color w:val="000000" w:themeColor="text1"/>
                <w:sz w:val="19"/>
                <w:szCs w:val="19"/>
                <w:u w:color="000000"/>
              </w:rPr>
              <w:t>Finančná situácia žiadateľa je zlá a predstavuje riziko pre realizáciu projektu.</w:t>
            </w:r>
          </w:p>
        </w:tc>
      </w:tr>
    </w:tbl>
    <w:p w14:paraId="019097AD" w14:textId="1E651F69" w:rsidR="00621A84" w:rsidRPr="00E60372" w:rsidRDefault="00621A84" w:rsidP="00FF5C24">
      <w:pPr>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príloha Index finančnej situácie žiadateľa</w:t>
      </w:r>
      <w:r w:rsidR="001B7F89">
        <w:rPr>
          <w:rFonts w:ascii="Arial" w:hAnsi="Arial" w:cs="Arial"/>
          <w:color w:val="000000" w:themeColor="text1"/>
          <w:sz w:val="19"/>
          <w:szCs w:val="19"/>
        </w:rPr>
        <w:t xml:space="preserve"> a príloha </w:t>
      </w:r>
      <w:r w:rsidR="001B7F89" w:rsidRPr="001B7F89">
        <w:rPr>
          <w:rFonts w:ascii="Arial" w:hAnsi="Arial" w:cs="Arial"/>
          <w:color w:val="000000" w:themeColor="text1"/>
          <w:sz w:val="19"/>
          <w:szCs w:val="19"/>
        </w:rPr>
        <w:t>Finančná udržateľnosť projektu</w:t>
      </w:r>
      <w:r w:rsidRPr="00E60372">
        <w:rPr>
          <w:rFonts w:ascii="Arial" w:hAnsi="Arial" w:cs="Arial"/>
          <w:color w:val="000000" w:themeColor="text1"/>
          <w:sz w:val="19"/>
          <w:szCs w:val="19"/>
        </w:rPr>
        <w:t xml:space="preserve">. </w:t>
      </w:r>
      <w:r w:rsidRPr="00E60372">
        <w:rPr>
          <w:rFonts w:ascii="Arial" w:hAnsi="Arial" w:cs="Arial"/>
          <w:b/>
          <w:color w:val="000000" w:themeColor="text1"/>
          <w:sz w:val="19"/>
          <w:szCs w:val="19"/>
        </w:rPr>
        <w:t>Hodnotiteľ posudzuje údaje za rok n.</w:t>
      </w:r>
      <w:r w:rsidRPr="00E60372">
        <w:rPr>
          <w:rFonts w:ascii="Arial" w:hAnsi="Arial" w:cs="Arial"/>
          <w:color w:val="000000" w:themeColor="text1"/>
          <w:sz w:val="19"/>
          <w:szCs w:val="19"/>
        </w:rPr>
        <w:t xml:space="preserve"> </w:t>
      </w:r>
    </w:p>
    <w:p w14:paraId="2317825E" w14:textId="77777777" w:rsidR="00621A84" w:rsidRPr="004E7F22" w:rsidRDefault="00621A84" w:rsidP="00621A84">
      <w:pPr>
        <w:spacing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w:t>
      </w:r>
      <w:r w:rsidRPr="004E7F22">
        <w:rPr>
          <w:rFonts w:ascii="Arial" w:hAnsi="Arial" w:cs="Arial"/>
          <w:color w:val="000000" w:themeColor="text1"/>
          <w:sz w:val="19"/>
          <w:szCs w:val="19"/>
        </w:rPr>
        <w:t xml:space="preserve">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59189544" w14:textId="77777777" w:rsidR="00621A84" w:rsidRPr="004E7F22" w:rsidRDefault="00621A84" w:rsidP="00621A84">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cash-flow projektu – finančná analýza</w:t>
      </w:r>
    </w:p>
    <w:p w14:paraId="1F232B78" w14:textId="2D4FE51B"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w:t>
      </w:r>
      <w:r w:rsidR="00E60372">
        <w:rPr>
          <w:rFonts w:ascii="Arial" w:eastAsiaTheme="minorHAnsi" w:hAnsi="Arial" w:cs="Arial"/>
          <w:color w:val="000000" w:themeColor="text1"/>
          <w:sz w:val="19"/>
          <w:szCs w:val="19"/>
          <w:bdr w:val="none" w:sz="0" w:space="0" w:color="auto"/>
          <w:lang w:val="sk-SK"/>
        </w:rPr>
        <w:t>v je súčasťou finančnej analýzy</w:t>
      </w:r>
      <w:r w:rsidR="00366DF7">
        <w:rPr>
          <w:rFonts w:ascii="Arial" w:eastAsiaTheme="minorHAnsi" w:hAnsi="Arial" w:cs="Arial"/>
          <w:color w:val="000000" w:themeColor="text1"/>
          <w:sz w:val="19"/>
          <w:szCs w:val="19"/>
          <w:bdr w:val="none" w:sz="0" w:space="0" w:color="auto"/>
          <w:lang w:val="sk-SK"/>
        </w:rPr>
        <w:t xml:space="preserve"> resp. </w:t>
      </w:r>
      <w:r w:rsidR="001B7F89">
        <w:rPr>
          <w:rFonts w:ascii="Arial" w:eastAsiaTheme="minorHAnsi" w:hAnsi="Arial" w:cs="Arial"/>
          <w:color w:val="000000" w:themeColor="text1"/>
          <w:sz w:val="19"/>
          <w:szCs w:val="19"/>
          <w:bdr w:val="none" w:sz="0" w:space="0" w:color="auto"/>
          <w:lang w:val="sk-SK"/>
        </w:rPr>
        <w:t>príloh</w:t>
      </w:r>
      <w:r w:rsidR="00043A24">
        <w:rPr>
          <w:rFonts w:ascii="Arial" w:eastAsiaTheme="minorHAnsi" w:hAnsi="Arial" w:cs="Arial"/>
          <w:color w:val="000000" w:themeColor="text1"/>
          <w:sz w:val="19"/>
          <w:szCs w:val="19"/>
          <w:bdr w:val="none" w:sz="0" w:space="0" w:color="auto"/>
          <w:lang w:val="sk-SK"/>
        </w:rPr>
        <w:t>a</w:t>
      </w:r>
      <w:r w:rsidR="001B7F89">
        <w:rPr>
          <w:rFonts w:ascii="Arial" w:eastAsiaTheme="minorHAnsi" w:hAnsi="Arial" w:cs="Arial"/>
          <w:color w:val="000000" w:themeColor="text1"/>
          <w:sz w:val="19"/>
          <w:szCs w:val="19"/>
          <w:bdr w:val="none" w:sz="0" w:space="0" w:color="auto"/>
          <w:lang w:val="sk-SK"/>
        </w:rPr>
        <w:t xml:space="preserve"> </w:t>
      </w:r>
      <w:r w:rsidR="001B7F89" w:rsidRPr="001B7F89">
        <w:rPr>
          <w:rFonts w:ascii="Arial" w:eastAsiaTheme="minorHAnsi" w:hAnsi="Arial" w:cs="Arial"/>
          <w:color w:val="000000" w:themeColor="text1"/>
          <w:sz w:val="19"/>
          <w:szCs w:val="19"/>
          <w:bdr w:val="none" w:sz="0" w:space="0" w:color="auto"/>
          <w:lang w:val="sk-SK"/>
        </w:rPr>
        <w:t>Finančná udržateľnosť projektu</w:t>
      </w:r>
      <w:r w:rsidRPr="004E7F22">
        <w:rPr>
          <w:rFonts w:ascii="Arial" w:eastAsiaTheme="minorHAnsi" w:hAnsi="Arial" w:cs="Arial"/>
          <w:color w:val="000000" w:themeColor="text1"/>
          <w:sz w:val="19"/>
          <w:szCs w:val="19"/>
          <w:bdr w:val="none" w:sz="0" w:space="0" w:color="auto"/>
          <w:lang w:val="sk-SK"/>
        </w:rPr>
        <w:t>). V prípade nesprávneho výpočtu, resp. nejasností hodnotiteľ požiada žiadateľa o doplnenie/vysvetlenie.</w:t>
      </w:r>
    </w:p>
    <w:p w14:paraId="2347654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0505F220"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50265D1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6ACEF0CF"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cash-flow je napr.:</w:t>
      </w:r>
    </w:p>
    <w:p w14:paraId="1FF915C9"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1C578BE"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7AA01C61"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67A62686"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7FB5D7C1" w14:textId="6B6DA029"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7E22F2E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DCEA35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1B5D7629"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6B8ABAC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Altmanov index za rok n spadá do kategórie „Firma s veľmi silnými finančnými problémami“</w:t>
      </w:r>
    </w:p>
    <w:p w14:paraId="442CC48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047D4817" w14:textId="189C5649"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5EA01524" w14:textId="77777777" w:rsidR="00314D2A" w:rsidRPr="00161E8F"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161E8F">
        <w:rPr>
          <w:rFonts w:ascii="Arial" w:eastAsiaTheme="minorHAnsi" w:hAnsi="Arial" w:cs="Arial"/>
          <w:color w:val="000000" w:themeColor="text1"/>
          <w:sz w:val="19"/>
          <w:szCs w:val="19"/>
          <w:u w:val="single"/>
          <w:bdr w:val="none" w:sz="0" w:space="0" w:color="auto"/>
          <w:lang w:val="sk-SK"/>
        </w:rPr>
        <w:t>Posúdenie finančnej situácie – Index bonity – súkromné podniky vykonávajúce činnosť vo verejnom záujme</w:t>
      </w:r>
    </w:p>
    <w:p w14:paraId="3E57F56C" w14:textId="77777777" w:rsidR="00314D2A" w:rsidRPr="00161E8F"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F6F06ED" w14:textId="77777777" w:rsidR="00314D2A" w:rsidRPr="00161E8F"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xml:space="preserve">Index bonity je špecifický index určený pre súkromné typy podnikov, ktoré vykonávajú rôzne činnosti vo verejnom záujme, ale ich cieľom je aj dosahovanie zisku. </w:t>
      </w:r>
    </w:p>
    <w:p w14:paraId="71699201" w14:textId="77777777" w:rsidR="00314D2A" w:rsidRPr="00161E8F"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A131D61" w14:textId="77777777" w:rsidR="00314D2A" w:rsidRPr="00161E8F"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Stupnica hodnotenia</w:t>
      </w:r>
      <w:r>
        <w:rPr>
          <w:rFonts w:ascii="Arial" w:eastAsiaTheme="minorHAnsi" w:hAnsi="Arial" w:cs="Arial"/>
          <w:color w:val="000000" w:themeColor="text1"/>
          <w:sz w:val="19"/>
          <w:szCs w:val="19"/>
          <w:bdr w:val="none" w:sz="0" w:space="0" w:color="auto"/>
          <w:lang w:val="sk-SK"/>
        </w:rPr>
        <w:t>:</w:t>
      </w:r>
    </w:p>
    <w:tbl>
      <w:tblPr>
        <w:tblW w:w="13608" w:type="dxa"/>
        <w:tblInd w:w="55" w:type="dxa"/>
        <w:tblCellMar>
          <w:left w:w="70" w:type="dxa"/>
          <w:right w:w="70" w:type="dxa"/>
        </w:tblCellMar>
        <w:tblLook w:val="04A0" w:firstRow="1" w:lastRow="0" w:firstColumn="1" w:lastColumn="0" w:noHBand="0" w:noVBand="1"/>
      </w:tblPr>
      <w:tblGrid>
        <w:gridCol w:w="1701"/>
        <w:gridCol w:w="1701"/>
        <w:gridCol w:w="1701"/>
        <w:gridCol w:w="1701"/>
        <w:gridCol w:w="1701"/>
        <w:gridCol w:w="1701"/>
        <w:gridCol w:w="1701"/>
        <w:gridCol w:w="1701"/>
      </w:tblGrid>
      <w:tr w:rsidR="00314D2A" w:rsidRPr="00066708" w14:paraId="7034A688" w14:textId="77777777" w:rsidTr="00741634">
        <w:trPr>
          <w:trHeight w:val="270"/>
        </w:trPr>
        <w:tc>
          <w:tcPr>
            <w:tcW w:w="1701" w:type="dxa"/>
            <w:tcBorders>
              <w:top w:val="single" w:sz="8" w:space="0" w:color="auto"/>
              <w:left w:val="single" w:sz="8" w:space="0" w:color="auto"/>
              <w:bottom w:val="single" w:sz="8" w:space="0" w:color="auto"/>
              <w:right w:val="nil"/>
            </w:tcBorders>
            <w:shd w:val="clear" w:color="000000" w:fill="D9D9D9"/>
            <w:noWrap/>
            <w:vAlign w:val="bottom"/>
            <w:hideMark/>
          </w:tcPr>
          <w:p w14:paraId="4A5B1D88"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index bonity</w:t>
            </w:r>
          </w:p>
        </w:tc>
        <w:tc>
          <w:tcPr>
            <w:tcW w:w="1701" w:type="dxa"/>
            <w:tcBorders>
              <w:top w:val="single" w:sz="8" w:space="0" w:color="auto"/>
              <w:left w:val="single" w:sz="4" w:space="0" w:color="auto"/>
              <w:bottom w:val="single" w:sz="8" w:space="0" w:color="auto"/>
              <w:right w:val="single" w:sz="4" w:space="0" w:color="auto"/>
            </w:tcBorders>
            <w:shd w:val="clear" w:color="000000" w:fill="D9D9D9"/>
            <w:noWrap/>
            <w:vAlign w:val="bottom"/>
            <w:hideMark/>
          </w:tcPr>
          <w:p w14:paraId="2488B7A9"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2BFA8C49"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45E4A7B5"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0</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7002A6C3"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30C48924"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7ECDFF1E"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3</w:t>
            </w:r>
          </w:p>
        </w:tc>
        <w:tc>
          <w:tcPr>
            <w:tcW w:w="1701" w:type="dxa"/>
            <w:tcBorders>
              <w:top w:val="single" w:sz="8" w:space="0" w:color="auto"/>
              <w:left w:val="nil"/>
              <w:bottom w:val="single" w:sz="8" w:space="0" w:color="auto"/>
              <w:right w:val="single" w:sz="8" w:space="0" w:color="auto"/>
            </w:tcBorders>
            <w:shd w:val="clear" w:color="000000" w:fill="D9D9D9"/>
            <w:noWrap/>
            <w:vAlign w:val="bottom"/>
            <w:hideMark/>
          </w:tcPr>
          <w:p w14:paraId="3FC12852"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&gt;3</w:t>
            </w:r>
          </w:p>
        </w:tc>
      </w:tr>
      <w:tr w:rsidR="00314D2A" w:rsidRPr="00066708" w14:paraId="3F25C3CF" w14:textId="77777777" w:rsidTr="00741634">
        <w:trPr>
          <w:trHeight w:val="270"/>
        </w:trPr>
        <w:tc>
          <w:tcPr>
            <w:tcW w:w="1701" w:type="dxa"/>
            <w:tcBorders>
              <w:top w:val="nil"/>
              <w:left w:val="single" w:sz="8" w:space="0" w:color="auto"/>
              <w:bottom w:val="single" w:sz="8" w:space="0" w:color="auto"/>
              <w:right w:val="nil"/>
            </w:tcBorders>
            <w:shd w:val="clear" w:color="000000" w:fill="D9D9D9"/>
            <w:vAlign w:val="bottom"/>
            <w:hideMark/>
          </w:tcPr>
          <w:p w14:paraId="2EE599F5"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Situácia firmy</w:t>
            </w:r>
          </w:p>
        </w:tc>
        <w:tc>
          <w:tcPr>
            <w:tcW w:w="1701" w:type="dxa"/>
            <w:tcBorders>
              <w:top w:val="nil"/>
              <w:left w:val="single" w:sz="4" w:space="0" w:color="auto"/>
              <w:bottom w:val="single" w:sz="8" w:space="0" w:color="auto"/>
              <w:right w:val="single" w:sz="4" w:space="0" w:color="auto"/>
            </w:tcBorders>
            <w:shd w:val="clear" w:color="000000" w:fill="D9D9D9"/>
            <w:noWrap/>
            <w:vAlign w:val="bottom"/>
            <w:hideMark/>
          </w:tcPr>
          <w:p w14:paraId="39500ADF"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zlá</w:t>
            </w:r>
          </w:p>
        </w:tc>
        <w:tc>
          <w:tcPr>
            <w:tcW w:w="1701" w:type="dxa"/>
            <w:tcBorders>
              <w:top w:val="nil"/>
              <w:left w:val="nil"/>
              <w:bottom w:val="single" w:sz="8" w:space="0" w:color="auto"/>
              <w:right w:val="single" w:sz="4" w:space="0" w:color="auto"/>
            </w:tcBorders>
            <w:shd w:val="clear" w:color="000000" w:fill="D9D9D9"/>
            <w:noWrap/>
            <w:vAlign w:val="bottom"/>
            <w:hideMark/>
          </w:tcPr>
          <w:p w14:paraId="4EBDCFB3"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zlá</w:t>
            </w:r>
          </w:p>
        </w:tc>
        <w:tc>
          <w:tcPr>
            <w:tcW w:w="1701" w:type="dxa"/>
            <w:tcBorders>
              <w:top w:val="nil"/>
              <w:left w:val="nil"/>
              <w:bottom w:val="single" w:sz="8" w:space="0" w:color="auto"/>
              <w:right w:val="single" w:sz="4" w:space="0" w:color="auto"/>
            </w:tcBorders>
            <w:shd w:val="clear" w:color="000000" w:fill="D9D9D9"/>
            <w:noWrap/>
            <w:vAlign w:val="bottom"/>
            <w:hideMark/>
          </w:tcPr>
          <w:p w14:paraId="62D5D2D4"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zlá</w:t>
            </w:r>
          </w:p>
        </w:tc>
        <w:tc>
          <w:tcPr>
            <w:tcW w:w="1701" w:type="dxa"/>
            <w:tcBorders>
              <w:top w:val="nil"/>
              <w:left w:val="nil"/>
              <w:bottom w:val="single" w:sz="8" w:space="0" w:color="auto"/>
              <w:right w:val="single" w:sz="4" w:space="0" w:color="auto"/>
            </w:tcBorders>
            <w:shd w:val="clear" w:color="000000" w:fill="D9D9D9"/>
            <w:noWrap/>
            <w:vAlign w:val="bottom"/>
            <w:hideMark/>
          </w:tcPr>
          <w:p w14:paraId="4005EFD3"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určité problémy</w:t>
            </w:r>
          </w:p>
        </w:tc>
        <w:tc>
          <w:tcPr>
            <w:tcW w:w="1701" w:type="dxa"/>
            <w:tcBorders>
              <w:top w:val="nil"/>
              <w:left w:val="nil"/>
              <w:bottom w:val="single" w:sz="8" w:space="0" w:color="auto"/>
              <w:right w:val="single" w:sz="4" w:space="0" w:color="auto"/>
            </w:tcBorders>
            <w:shd w:val="clear" w:color="000000" w:fill="D9D9D9"/>
            <w:noWrap/>
            <w:vAlign w:val="bottom"/>
            <w:hideMark/>
          </w:tcPr>
          <w:p w14:paraId="3ECE3F34"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dobrá</w:t>
            </w:r>
          </w:p>
        </w:tc>
        <w:tc>
          <w:tcPr>
            <w:tcW w:w="1701" w:type="dxa"/>
            <w:tcBorders>
              <w:top w:val="nil"/>
              <w:left w:val="nil"/>
              <w:bottom w:val="single" w:sz="8" w:space="0" w:color="auto"/>
              <w:right w:val="single" w:sz="4" w:space="0" w:color="auto"/>
            </w:tcBorders>
            <w:shd w:val="clear" w:color="000000" w:fill="D9D9D9"/>
            <w:noWrap/>
            <w:vAlign w:val="bottom"/>
            <w:hideMark/>
          </w:tcPr>
          <w:p w14:paraId="095B87A9"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dobrá</w:t>
            </w:r>
          </w:p>
        </w:tc>
        <w:tc>
          <w:tcPr>
            <w:tcW w:w="1701" w:type="dxa"/>
            <w:tcBorders>
              <w:top w:val="nil"/>
              <w:left w:val="nil"/>
              <w:bottom w:val="single" w:sz="8" w:space="0" w:color="auto"/>
              <w:right w:val="single" w:sz="8" w:space="0" w:color="auto"/>
            </w:tcBorders>
            <w:shd w:val="clear" w:color="000000" w:fill="D9D9D9"/>
            <w:noWrap/>
            <w:vAlign w:val="bottom"/>
            <w:hideMark/>
          </w:tcPr>
          <w:p w14:paraId="177002BD"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dobrá</w:t>
            </w:r>
          </w:p>
        </w:tc>
      </w:tr>
    </w:tbl>
    <w:p w14:paraId="26D5AA0D" w14:textId="77777777" w:rsidR="00314D2A"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0A6EB5D" w14:textId="3279AE38" w:rsidR="00314D2A"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161E8F">
        <w:rPr>
          <w:rFonts w:ascii="Arial" w:eastAsiaTheme="minorHAnsi" w:hAnsi="Arial" w:cs="Arial"/>
          <w:b/>
          <w:color w:val="000000" w:themeColor="text1"/>
          <w:sz w:val="19"/>
          <w:szCs w:val="19"/>
          <w:bdr w:val="none" w:sz="0" w:space="0" w:color="auto"/>
          <w:lang w:val="sk-SK"/>
        </w:rPr>
        <w:t>Hodnotiteľ vyhodnotí túto časť kritéria ako „nie“ pokiaľ Index bonity za rok n spadá do intervalu ≤ 0! Pokiaľ je výsledná hodnota indexu &gt; 0, hodnotiteľ uvedie hodnotenie „áno“.</w:t>
      </w:r>
    </w:p>
    <w:p w14:paraId="55435F4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4AB77EC"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1244AA4"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761B9191"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1AAC5466"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602E961C"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6418DD4"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4BEB002A" w14:textId="0DC1BD44"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lastRenderedPageBreak/>
        <w:t>Vyhodnotí hodnotiteľ platobnú schopnosť ako nedostatočnú.</w:t>
      </w:r>
    </w:p>
    <w:p w14:paraId="174253D6" w14:textId="77777777" w:rsidR="0049495F" w:rsidRDefault="0049495F" w:rsidP="0049495F">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5C869C04" w14:textId="77777777" w:rsidR="0049495F" w:rsidRPr="004E7F22" w:rsidRDefault="0049495F"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117238BB"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65F71FD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548E81DB"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A189236"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2E613266" w14:textId="77777777" w:rsidR="0087199F" w:rsidRDefault="0087199F" w:rsidP="00621A84">
      <w:pPr>
        <w:spacing w:after="120" w:line="288" w:lineRule="auto"/>
        <w:jc w:val="both"/>
        <w:rPr>
          <w:rFonts w:ascii="Arial" w:hAnsi="Arial" w:cs="Arial"/>
          <w:b/>
          <w:color w:val="000000" w:themeColor="text1"/>
          <w:sz w:val="19"/>
          <w:szCs w:val="19"/>
          <w:u w:val="single"/>
        </w:rPr>
      </w:pPr>
    </w:p>
    <w:p w14:paraId="7FED22B5" w14:textId="2EB344BF" w:rsidR="00621A84" w:rsidRPr="0087199F" w:rsidRDefault="00621A84" w:rsidP="00621A84">
      <w:pPr>
        <w:spacing w:after="120" w:line="288" w:lineRule="auto"/>
        <w:jc w:val="both"/>
        <w:rPr>
          <w:rFonts w:ascii="Arial" w:hAnsi="Arial" w:cs="Arial"/>
          <w:b/>
          <w:color w:val="000000" w:themeColor="text1"/>
          <w:sz w:val="19"/>
          <w:szCs w:val="19"/>
          <w:u w:val="single"/>
        </w:rPr>
      </w:pPr>
      <w:r w:rsidRPr="0087199F">
        <w:rPr>
          <w:rFonts w:ascii="Arial" w:hAnsi="Arial" w:cs="Arial"/>
          <w:b/>
          <w:color w:val="000000" w:themeColor="text1"/>
          <w:sz w:val="19"/>
          <w:szCs w:val="19"/>
          <w:u w:val="single"/>
        </w:rPr>
        <w:t>Záver hodnotenia</w:t>
      </w:r>
    </w:p>
    <w:p w14:paraId="47598006"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4F915333"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1531B062" w14:textId="77777777" w:rsidR="00621A84" w:rsidRPr="004E7F22" w:rsidRDefault="00621A84" w:rsidP="00621A84">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4.4</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4.5</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 xml:space="preserve">Posudzuje či sú jednotlivé výdavky zrozumiteľné, matematicky správne, dostatočne podrobne </w:t>
            </w:r>
            <w:r w:rsidRPr="00E60372">
              <w:rPr>
                <w:rFonts w:ascii="Arial" w:eastAsia="Helvetica" w:hAnsi="Arial" w:cs="Arial"/>
                <w:color w:val="000000" w:themeColor="text1"/>
                <w:sz w:val="19"/>
                <w:szCs w:val="19"/>
              </w:rPr>
              <w:lastRenderedPageBreak/>
              <w:t>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lastRenderedPageBreak/>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Rozpočet je matematicky správny, jednotlivé položky sú  zrozumiteľné, dostatočne podrobne špecifikované a správne priradené k skupinám oprávnených výdavkov. </w:t>
            </w:r>
            <w:r w:rsidRPr="00E60372">
              <w:rPr>
                <w:rFonts w:ascii="Arial" w:eastAsia="Helvetica" w:hAnsi="Arial" w:cs="Arial"/>
                <w:color w:val="000000" w:themeColor="text1"/>
                <w:sz w:val="19"/>
                <w:szCs w:val="19"/>
              </w:rPr>
              <w:lastRenderedPageBreak/>
              <w:t>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rozpočtu a podrobného položkového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9F59B5">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7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 w:id="1">
    <w:p w14:paraId="5F38DDD1" w14:textId="77777777" w:rsidR="00B24207" w:rsidRPr="00E16A8C" w:rsidRDefault="00B24207" w:rsidP="00B24207">
      <w:pPr>
        <w:pStyle w:val="Textvysvetlivky"/>
        <w:rPr>
          <w:rFonts w:ascii="Arial" w:hAnsi="Arial" w:cs="Arial"/>
        </w:rPr>
      </w:pPr>
      <w:r w:rsidRPr="00E16A8C">
        <w:rPr>
          <w:rStyle w:val="Odkaznavysvetlivku"/>
          <w:rFonts w:ascii="Arial" w:hAnsi="Arial" w:cs="Arial"/>
        </w:rPr>
        <w:endnoteRef/>
      </w:r>
      <w:r w:rsidRPr="00E16A8C">
        <w:rPr>
          <w:rFonts w:ascii="Arial" w:hAnsi="Arial" w:cs="Arial"/>
        </w:rPr>
        <w:t xml:space="preserve"> tarifné a informačné systémy, dispečerské systémy apod.</w:t>
      </w:r>
    </w:p>
  </w:endnote>
  <w:endnote w:id="2">
    <w:p w14:paraId="51C56151" w14:textId="77777777" w:rsidR="00B24207" w:rsidRPr="00E16A8C" w:rsidRDefault="00B24207" w:rsidP="00B24207">
      <w:pPr>
        <w:pStyle w:val="Textvysvetlivky"/>
        <w:rPr>
          <w:rFonts w:ascii="Arial" w:hAnsi="Arial" w:cs="Arial"/>
        </w:rPr>
      </w:pPr>
      <w:r w:rsidRPr="00E16A8C">
        <w:rPr>
          <w:rStyle w:val="Odkaznavysvetlivku"/>
          <w:rFonts w:ascii="Arial" w:hAnsi="Arial" w:cs="Arial"/>
        </w:rPr>
        <w:endnoteRef/>
      </w:r>
      <w:r w:rsidRPr="00E16A8C">
        <w:rPr>
          <w:rFonts w:ascii="Arial" w:hAnsi="Arial" w:cs="Arial"/>
        </w:rPr>
        <w:t xml:space="preserve"> Definícia štandardov uzlov bude súčasťou programového manuálu k OP.</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F9655" w14:textId="77777777" w:rsidR="006136A1" w:rsidRDefault="006136A1">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336264C9" w:rsidR="008B1F42" w:rsidRDefault="009F59B5" w:rsidP="009F59B5">
        <w:pPr>
          <w:pStyle w:val="Pta"/>
        </w:pPr>
        <w:r w:rsidRPr="00BE7612">
          <w:rPr>
            <w:rFonts w:ascii="Arial" w:hAnsi="Arial" w:cs="Arial"/>
            <w:sz w:val="16"/>
            <w:szCs w:val="16"/>
          </w:rPr>
          <w:t xml:space="preserve">Príručka pre odborných hodnotiteľov IROP, verzia </w:t>
        </w:r>
        <w:r w:rsidR="00761BAE">
          <w:rPr>
            <w:rFonts w:ascii="Arial" w:hAnsi="Arial" w:cs="Arial"/>
            <w:sz w:val="16"/>
            <w:szCs w:val="16"/>
          </w:rPr>
          <w:t>13.</w:t>
        </w:r>
        <w:r w:rsidR="003F35BD">
          <w:rPr>
            <w:rFonts w:ascii="Arial" w:hAnsi="Arial" w:cs="Arial"/>
            <w:sz w:val="16"/>
            <w:szCs w:val="16"/>
          </w:rPr>
          <w:t>1</w:t>
        </w:r>
      </w:p>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D2EF4" w14:textId="77777777" w:rsidR="006136A1" w:rsidRDefault="006136A1">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748F8" w14:textId="77777777" w:rsidR="006136A1" w:rsidRDefault="006136A1">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1" name="Obrázok 2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500D04"/>
    <w:multiLevelType w:val="hybridMultilevel"/>
    <w:tmpl w:val="1E30A232"/>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34EB3"/>
    <w:multiLevelType w:val="hybridMultilevel"/>
    <w:tmpl w:val="C1E85566"/>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6733DEB"/>
    <w:multiLevelType w:val="hybridMultilevel"/>
    <w:tmpl w:val="53F65D00"/>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7F5B46"/>
    <w:multiLevelType w:val="hybridMultilevel"/>
    <w:tmpl w:val="9D4C021A"/>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4E108D"/>
    <w:multiLevelType w:val="hybridMultilevel"/>
    <w:tmpl w:val="59EC1374"/>
    <w:lvl w:ilvl="0" w:tplc="0A1C2AF2">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8342B5E"/>
    <w:multiLevelType w:val="hybridMultilevel"/>
    <w:tmpl w:val="917EF884"/>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8"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1" w15:restartNumberingAfterBreak="0">
    <w:nsid w:val="594F6649"/>
    <w:multiLevelType w:val="hybridMultilevel"/>
    <w:tmpl w:val="1B34102A"/>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2"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7"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0"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41"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46"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0"/>
  </w:num>
  <w:num w:numId="4">
    <w:abstractNumId w:val="43"/>
  </w:num>
  <w:num w:numId="5">
    <w:abstractNumId w:val="44"/>
  </w:num>
  <w:num w:numId="6">
    <w:abstractNumId w:val="11"/>
  </w:num>
  <w:num w:numId="7">
    <w:abstractNumId w:val="39"/>
  </w:num>
  <w:num w:numId="8">
    <w:abstractNumId w:val="16"/>
  </w:num>
  <w:num w:numId="9">
    <w:abstractNumId w:val="17"/>
  </w:num>
  <w:num w:numId="10">
    <w:abstractNumId w:val="7"/>
  </w:num>
  <w:num w:numId="11">
    <w:abstractNumId w:val="23"/>
  </w:num>
  <w:num w:numId="12">
    <w:abstractNumId w:val="19"/>
  </w:num>
  <w:num w:numId="13">
    <w:abstractNumId w:val="38"/>
  </w:num>
  <w:num w:numId="14">
    <w:abstractNumId w:val="28"/>
  </w:num>
  <w:num w:numId="15">
    <w:abstractNumId w:val="18"/>
  </w:num>
  <w:num w:numId="16">
    <w:abstractNumId w:val="13"/>
  </w:num>
  <w:num w:numId="17">
    <w:abstractNumId w:val="26"/>
  </w:num>
  <w:num w:numId="18">
    <w:abstractNumId w:val="41"/>
  </w:num>
  <w:num w:numId="19">
    <w:abstractNumId w:val="34"/>
  </w:num>
  <w:num w:numId="20">
    <w:abstractNumId w:val="5"/>
  </w:num>
  <w:num w:numId="21">
    <w:abstractNumId w:val="3"/>
  </w:num>
  <w:num w:numId="22">
    <w:abstractNumId w:val="46"/>
  </w:num>
  <w:num w:numId="23">
    <w:abstractNumId w:val="9"/>
  </w:num>
  <w:num w:numId="24">
    <w:abstractNumId w:val="46"/>
  </w:num>
  <w:num w:numId="25">
    <w:abstractNumId w:val="3"/>
  </w:num>
  <w:num w:numId="26">
    <w:abstractNumId w:val="9"/>
  </w:num>
  <w:num w:numId="27">
    <w:abstractNumId w:val="8"/>
  </w:num>
  <w:num w:numId="28">
    <w:abstractNumId w:val="36"/>
  </w:num>
  <w:num w:numId="29">
    <w:abstractNumId w:val="33"/>
  </w:num>
  <w:num w:numId="30">
    <w:abstractNumId w:val="45"/>
  </w:num>
  <w:num w:numId="31">
    <w:abstractNumId w:val="29"/>
  </w:num>
  <w:num w:numId="32">
    <w:abstractNumId w:val="22"/>
  </w:num>
  <w:num w:numId="33">
    <w:abstractNumId w:val="24"/>
  </w:num>
  <w:num w:numId="34">
    <w:abstractNumId w:val="4"/>
  </w:num>
  <w:num w:numId="35">
    <w:abstractNumId w:val="37"/>
  </w:num>
  <w:num w:numId="36">
    <w:abstractNumId w:val="27"/>
  </w:num>
  <w:num w:numId="37">
    <w:abstractNumId w:val="20"/>
  </w:num>
  <w:num w:numId="38">
    <w:abstractNumId w:val="12"/>
  </w:num>
  <w:num w:numId="39">
    <w:abstractNumId w:val="32"/>
  </w:num>
  <w:num w:numId="40">
    <w:abstractNumId w:val="35"/>
  </w:num>
  <w:num w:numId="41">
    <w:abstractNumId w:val="25"/>
  </w:num>
  <w:num w:numId="42">
    <w:abstractNumId w:val="40"/>
  </w:num>
  <w:num w:numId="43">
    <w:abstractNumId w:val="30"/>
  </w:num>
  <w:num w:numId="44">
    <w:abstractNumId w:val="2"/>
  </w:num>
  <w:num w:numId="45">
    <w:abstractNumId w:val="1"/>
  </w:num>
  <w:num w:numId="46">
    <w:abstractNumId w:val="15"/>
  </w:num>
  <w:num w:numId="47">
    <w:abstractNumId w:val="10"/>
  </w:num>
  <w:num w:numId="48">
    <w:abstractNumId w:val="31"/>
  </w:num>
  <w:num w:numId="49">
    <w:abstractNumId w:val="42"/>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3A24"/>
    <w:rsid w:val="000466C5"/>
    <w:rsid w:val="00050C84"/>
    <w:rsid w:val="00053DF4"/>
    <w:rsid w:val="00055A2D"/>
    <w:rsid w:val="000579E5"/>
    <w:rsid w:val="00060012"/>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C0810"/>
    <w:rsid w:val="000C159E"/>
    <w:rsid w:val="000D28B0"/>
    <w:rsid w:val="000D3F5F"/>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2FD9"/>
    <w:rsid w:val="001502C2"/>
    <w:rsid w:val="00150B3D"/>
    <w:rsid w:val="0015422F"/>
    <w:rsid w:val="001548DC"/>
    <w:rsid w:val="00160A59"/>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B7F89"/>
    <w:rsid w:val="001C000E"/>
    <w:rsid w:val="001C1F44"/>
    <w:rsid w:val="001C7563"/>
    <w:rsid w:val="001D0B8B"/>
    <w:rsid w:val="001D15EF"/>
    <w:rsid w:val="001D1854"/>
    <w:rsid w:val="001D1A22"/>
    <w:rsid w:val="001E10C6"/>
    <w:rsid w:val="001E6A35"/>
    <w:rsid w:val="001F0938"/>
    <w:rsid w:val="001F618A"/>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B3A18"/>
    <w:rsid w:val="002B4BB6"/>
    <w:rsid w:val="002B5816"/>
    <w:rsid w:val="002B5ACF"/>
    <w:rsid w:val="002B7238"/>
    <w:rsid w:val="002B7D3A"/>
    <w:rsid w:val="002C06FE"/>
    <w:rsid w:val="002C1952"/>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08BE"/>
    <w:rsid w:val="0031467F"/>
    <w:rsid w:val="00314D2A"/>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35BD"/>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40986"/>
    <w:rsid w:val="00440A43"/>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80D9F"/>
    <w:rsid w:val="004847D3"/>
    <w:rsid w:val="0049086C"/>
    <w:rsid w:val="00492744"/>
    <w:rsid w:val="00492C48"/>
    <w:rsid w:val="00493914"/>
    <w:rsid w:val="0049495F"/>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484D"/>
    <w:rsid w:val="005453CA"/>
    <w:rsid w:val="00555456"/>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5F54"/>
    <w:rsid w:val="005F092D"/>
    <w:rsid w:val="005F10A6"/>
    <w:rsid w:val="005F6228"/>
    <w:rsid w:val="00600B81"/>
    <w:rsid w:val="006051BA"/>
    <w:rsid w:val="00610062"/>
    <w:rsid w:val="00611A9C"/>
    <w:rsid w:val="0061310C"/>
    <w:rsid w:val="006136A1"/>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046"/>
    <w:rsid w:val="006B53D9"/>
    <w:rsid w:val="006B58E1"/>
    <w:rsid w:val="006B6395"/>
    <w:rsid w:val="006C0E70"/>
    <w:rsid w:val="006C2958"/>
    <w:rsid w:val="006C38A1"/>
    <w:rsid w:val="006C5BBE"/>
    <w:rsid w:val="006D30E9"/>
    <w:rsid w:val="006D4CDB"/>
    <w:rsid w:val="006E19BA"/>
    <w:rsid w:val="006E2422"/>
    <w:rsid w:val="006E371B"/>
    <w:rsid w:val="006E3736"/>
    <w:rsid w:val="006E67EF"/>
    <w:rsid w:val="006F242F"/>
    <w:rsid w:val="006F283B"/>
    <w:rsid w:val="006F6E4B"/>
    <w:rsid w:val="006F757D"/>
    <w:rsid w:val="00715E12"/>
    <w:rsid w:val="00715F66"/>
    <w:rsid w:val="00717A6A"/>
    <w:rsid w:val="00720FFF"/>
    <w:rsid w:val="00724D81"/>
    <w:rsid w:val="00736B1F"/>
    <w:rsid w:val="00737FE6"/>
    <w:rsid w:val="00747198"/>
    <w:rsid w:val="0075185F"/>
    <w:rsid w:val="00755505"/>
    <w:rsid w:val="0076155E"/>
    <w:rsid w:val="00761BA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B63"/>
    <w:rsid w:val="007A6E45"/>
    <w:rsid w:val="007B1085"/>
    <w:rsid w:val="007B39BB"/>
    <w:rsid w:val="007B6B36"/>
    <w:rsid w:val="007C416E"/>
    <w:rsid w:val="007C6F8F"/>
    <w:rsid w:val="007D2241"/>
    <w:rsid w:val="007D36FA"/>
    <w:rsid w:val="007D4C56"/>
    <w:rsid w:val="007D4EEE"/>
    <w:rsid w:val="007D5E49"/>
    <w:rsid w:val="007E0D53"/>
    <w:rsid w:val="007E2F96"/>
    <w:rsid w:val="007E35A8"/>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3083B"/>
    <w:rsid w:val="00834FA7"/>
    <w:rsid w:val="008351C2"/>
    <w:rsid w:val="00835606"/>
    <w:rsid w:val="00836214"/>
    <w:rsid w:val="008375BA"/>
    <w:rsid w:val="008410AE"/>
    <w:rsid w:val="008411C7"/>
    <w:rsid w:val="0084248B"/>
    <w:rsid w:val="0084546E"/>
    <w:rsid w:val="00847A97"/>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4D9F"/>
    <w:rsid w:val="009472B3"/>
    <w:rsid w:val="009539D4"/>
    <w:rsid w:val="00953BEB"/>
    <w:rsid w:val="0096038F"/>
    <w:rsid w:val="00960C37"/>
    <w:rsid w:val="009620CE"/>
    <w:rsid w:val="009627A5"/>
    <w:rsid w:val="00963226"/>
    <w:rsid w:val="00964622"/>
    <w:rsid w:val="0096686B"/>
    <w:rsid w:val="00974DED"/>
    <w:rsid w:val="00980F45"/>
    <w:rsid w:val="00981F8E"/>
    <w:rsid w:val="009838AC"/>
    <w:rsid w:val="00985A87"/>
    <w:rsid w:val="009860E3"/>
    <w:rsid w:val="00987448"/>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60B5"/>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7B24"/>
    <w:rsid w:val="00AA7FE2"/>
    <w:rsid w:val="00AB1998"/>
    <w:rsid w:val="00AB3156"/>
    <w:rsid w:val="00AB37C1"/>
    <w:rsid w:val="00AB7C6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4207"/>
    <w:rsid w:val="00B24486"/>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C407A"/>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38E8"/>
    <w:rsid w:val="00CB4CDC"/>
    <w:rsid w:val="00CB6893"/>
    <w:rsid w:val="00CC24BF"/>
    <w:rsid w:val="00CC2F1B"/>
    <w:rsid w:val="00CC4336"/>
    <w:rsid w:val="00CC5388"/>
    <w:rsid w:val="00CD43AB"/>
    <w:rsid w:val="00CD5D6A"/>
    <w:rsid w:val="00CE65FF"/>
    <w:rsid w:val="00CF12B4"/>
    <w:rsid w:val="00CF1494"/>
    <w:rsid w:val="00CF2402"/>
    <w:rsid w:val="00CF4836"/>
    <w:rsid w:val="00D05B26"/>
    <w:rsid w:val="00D06F22"/>
    <w:rsid w:val="00D07504"/>
    <w:rsid w:val="00D07E0F"/>
    <w:rsid w:val="00D1737B"/>
    <w:rsid w:val="00D2210A"/>
    <w:rsid w:val="00D278D6"/>
    <w:rsid w:val="00D3230F"/>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A7DC5"/>
    <w:rsid w:val="00DB1549"/>
    <w:rsid w:val="00DB24DE"/>
    <w:rsid w:val="00DB29D9"/>
    <w:rsid w:val="00DB363E"/>
    <w:rsid w:val="00DB3E61"/>
    <w:rsid w:val="00DB643C"/>
    <w:rsid w:val="00DC153C"/>
    <w:rsid w:val="00DC1FCB"/>
    <w:rsid w:val="00DD7D77"/>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7D7E"/>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028"/>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771E"/>
    <w:rsid w:val="00FB1F26"/>
    <w:rsid w:val="00FB204B"/>
    <w:rsid w:val="00FB2443"/>
    <w:rsid w:val="00FB3AAC"/>
    <w:rsid w:val="00FB42D9"/>
    <w:rsid w:val="00FB4F69"/>
    <w:rsid w:val="00FB5685"/>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01120416">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7138B-10A1-4A94-9EDD-1B2B018FA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14</Pages>
  <Words>7045</Words>
  <Characters>40160</Characters>
  <Application>Microsoft Office Word</Application>
  <DocSecurity>0</DocSecurity>
  <Lines>334</Lines>
  <Paragraphs>94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47111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OM1</cp:lastModifiedBy>
  <cp:revision>21</cp:revision>
  <cp:lastPrinted>2016-08-27T16:57:00Z</cp:lastPrinted>
  <dcterms:created xsi:type="dcterms:W3CDTF">2021-06-15T08:50:00Z</dcterms:created>
  <dcterms:modified xsi:type="dcterms:W3CDTF">2023-11-24T13:24:00Z</dcterms:modified>
</cp:coreProperties>
</file>