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376ABE7D"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3C28AC">
        <w:rPr>
          <w:rFonts w:ascii="Arial" w:eastAsia="Calibri" w:hAnsi="Arial" w:cs="Arial"/>
          <w:b/>
          <w:bCs/>
          <w:color w:val="000000" w:themeColor="text1"/>
          <w:sz w:val="20"/>
          <w:szCs w:val="20"/>
        </w:rPr>
        <w:t>20</w:t>
      </w:r>
      <w:r w:rsidR="0049638D">
        <w:rPr>
          <w:rFonts w:ascii="Arial" w:eastAsia="Calibri" w:hAnsi="Arial" w:cs="Arial"/>
          <w:b/>
          <w:bCs/>
          <w:color w:val="000000" w:themeColor="text1"/>
          <w:sz w:val="20"/>
          <w:szCs w:val="20"/>
        </w:rPr>
        <w:t>B</w:t>
      </w:r>
    </w:p>
    <w:p w14:paraId="38C5CD96" w14:textId="77777777" w:rsidR="0049638D" w:rsidRPr="004F3B43" w:rsidRDefault="0049638D" w:rsidP="0049638D">
      <w:pPr>
        <w:spacing w:after="0" w:line="240" w:lineRule="auto"/>
        <w:ind w:right="89"/>
        <w:contextualSpacing/>
        <w:jc w:val="center"/>
        <w:outlineLvl w:val="0"/>
        <w:rPr>
          <w:rFonts w:ascii="Arial" w:eastAsia="Times New Roman" w:hAnsi="Arial" w:cs="Arial"/>
          <w:b/>
          <w:bCs/>
          <w:color w:val="000000" w:themeColor="text1"/>
          <w:sz w:val="24"/>
          <w:szCs w:val="24"/>
          <w:lang w:bidi="en-US"/>
        </w:rPr>
      </w:pPr>
      <w:r w:rsidRPr="004F3B43">
        <w:rPr>
          <w:rFonts w:ascii="Arial" w:eastAsia="Times New Roman" w:hAnsi="Arial" w:cs="Arial"/>
          <w:b/>
          <w:bCs/>
          <w:color w:val="000000" w:themeColor="text1"/>
          <w:sz w:val="24"/>
          <w:szCs w:val="24"/>
          <w:lang w:bidi="en-US"/>
        </w:rPr>
        <w:t>KRITÉRIÁ PRE VÝBER PROJEKTOV - HODNOTIACE KRITÉRIÁ</w:t>
      </w:r>
    </w:p>
    <w:p w14:paraId="176CC445" w14:textId="77777777" w:rsidR="0049638D" w:rsidRPr="004F3B43" w:rsidRDefault="0049638D" w:rsidP="0049638D">
      <w:pPr>
        <w:spacing w:after="0" w:line="288" w:lineRule="auto"/>
        <w:ind w:right="272"/>
        <w:jc w:val="center"/>
        <w:rPr>
          <w:rFonts w:ascii="Arial" w:eastAsia="Calibri" w:hAnsi="Arial" w:cs="Arial"/>
          <w:bCs/>
          <w:color w:val="000000" w:themeColor="text1"/>
          <w:sz w:val="24"/>
          <w:szCs w:val="24"/>
        </w:rPr>
      </w:pPr>
      <w:r w:rsidRPr="004F3B43">
        <w:rPr>
          <w:rFonts w:ascii="Arial" w:eastAsia="Calibri" w:hAnsi="Arial" w:cs="Arial"/>
          <w:bCs/>
          <w:color w:val="000000" w:themeColor="text1"/>
          <w:sz w:val="24"/>
          <w:szCs w:val="24"/>
        </w:rPr>
        <w:t xml:space="preserve">pre hodnotenie </w:t>
      </w:r>
      <w:r w:rsidRPr="004F3B43">
        <w:rPr>
          <w:rFonts w:ascii="Arial" w:eastAsia="Calibri" w:hAnsi="Arial" w:cs="Arial"/>
          <w:b/>
          <w:bCs/>
          <w:color w:val="000000" w:themeColor="text1"/>
          <w:sz w:val="24"/>
          <w:szCs w:val="24"/>
        </w:rPr>
        <w:t>Národných projektov</w:t>
      </w:r>
      <w:r w:rsidRPr="004F3B43">
        <w:rPr>
          <w:rFonts w:ascii="Arial" w:eastAsia="Calibri" w:hAnsi="Arial" w:cs="Arial"/>
          <w:bCs/>
          <w:color w:val="000000" w:themeColor="text1"/>
          <w:sz w:val="24"/>
          <w:szCs w:val="24"/>
        </w:rPr>
        <w:t xml:space="preserve"> v rámci</w:t>
      </w:r>
    </w:p>
    <w:p w14:paraId="42B23733" w14:textId="77777777" w:rsidR="0049638D" w:rsidRPr="004F3B43" w:rsidRDefault="0049638D" w:rsidP="0049638D">
      <w:pPr>
        <w:spacing w:after="0" w:line="288" w:lineRule="auto"/>
        <w:ind w:right="272"/>
        <w:jc w:val="center"/>
        <w:rPr>
          <w:rFonts w:ascii="Arial" w:eastAsia="Calibri" w:hAnsi="Arial" w:cs="Arial"/>
          <w:bCs/>
          <w:color w:val="000000" w:themeColor="text1"/>
          <w:sz w:val="24"/>
          <w:szCs w:val="24"/>
        </w:rPr>
      </w:pPr>
      <w:r w:rsidRPr="004F3B43">
        <w:rPr>
          <w:rFonts w:ascii="Arial" w:eastAsia="Calibri" w:hAnsi="Arial" w:cs="Arial"/>
          <w:bCs/>
          <w:color w:val="000000" w:themeColor="text1"/>
          <w:sz w:val="24"/>
          <w:szCs w:val="24"/>
        </w:rPr>
        <w:tab/>
        <w:t>Integrovaného regionálneho operačného programu</w:t>
      </w:r>
      <w:r w:rsidRPr="004F3B43" w:rsidDel="00B83AC6">
        <w:rPr>
          <w:rFonts w:ascii="Arial" w:eastAsia="Calibri" w:hAnsi="Arial" w:cs="Arial"/>
          <w:bCs/>
          <w:color w:val="000000" w:themeColor="text1"/>
          <w:sz w:val="24"/>
          <w:szCs w:val="24"/>
        </w:rPr>
        <w:t xml:space="preserve"> </w:t>
      </w:r>
    </w:p>
    <w:p w14:paraId="49FC78D7" w14:textId="3A9EE855" w:rsidR="0049638D" w:rsidRDefault="0049638D" w:rsidP="0049638D">
      <w:pPr>
        <w:spacing w:after="0" w:line="288" w:lineRule="auto"/>
        <w:ind w:right="272"/>
        <w:jc w:val="center"/>
        <w:rPr>
          <w:rFonts w:ascii="Arial" w:eastAsia="Times New Roman" w:hAnsi="Arial" w:cs="Arial"/>
          <w:color w:val="000000" w:themeColor="text1"/>
          <w:sz w:val="24"/>
          <w:szCs w:val="24"/>
        </w:rPr>
      </w:pPr>
      <w:r w:rsidRPr="004F3B43">
        <w:rPr>
          <w:rFonts w:ascii="Arial" w:eastAsia="Times New Roman" w:hAnsi="Arial" w:cs="Arial"/>
          <w:color w:val="000000" w:themeColor="text1"/>
          <w:sz w:val="24"/>
          <w:szCs w:val="24"/>
        </w:rPr>
        <w:t>prioritná os 9</w:t>
      </w:r>
    </w:p>
    <w:p w14:paraId="7D43D413" w14:textId="77777777" w:rsidR="00EA182D" w:rsidRPr="004F3B43" w:rsidRDefault="00EA182D" w:rsidP="0049638D">
      <w:pPr>
        <w:spacing w:after="0" w:line="288" w:lineRule="auto"/>
        <w:ind w:right="272"/>
        <w:jc w:val="center"/>
        <w:rPr>
          <w:rFonts w:ascii="Arial" w:eastAsia="Times New Roman" w:hAnsi="Arial" w:cs="Arial"/>
          <w:color w:val="000000" w:themeColor="text1"/>
          <w:sz w:val="24"/>
          <w:szCs w:val="24"/>
        </w:rPr>
      </w:pPr>
    </w:p>
    <w:p w14:paraId="30B12699" w14:textId="77777777" w:rsidR="00EA182D" w:rsidRPr="004F3B43" w:rsidRDefault="00EA182D" w:rsidP="00EA182D">
      <w:pPr>
        <w:rPr>
          <w:rFonts w:ascii="Arial" w:hAnsi="Arial" w:cs="Arial"/>
          <w:b/>
          <w:color w:val="000000" w:themeColor="text1"/>
          <w:sz w:val="24"/>
          <w:szCs w:val="19"/>
        </w:rPr>
      </w:pPr>
      <w:r w:rsidRPr="004F3B43">
        <w:rPr>
          <w:rFonts w:ascii="Arial" w:hAnsi="Arial" w:cs="Arial"/>
          <w:b/>
          <w:color w:val="000000" w:themeColor="text1"/>
          <w:sz w:val="24"/>
          <w:szCs w:val="24"/>
        </w:rPr>
        <w:t xml:space="preserve">Špecifický cieľ 9.1. – </w:t>
      </w:r>
      <w:r w:rsidRPr="004F3B43">
        <w:rPr>
          <w:rStyle w:val="Zvraznenie"/>
          <w:rFonts w:ascii="Arial" w:hAnsi="Arial" w:cs="Arial"/>
          <w:b/>
        </w:rPr>
        <w:t>Riešenie migračných výziev v dôsledku vojenskej agresie voči Ukrajine</w:t>
      </w:r>
    </w:p>
    <w:tbl>
      <w:tblPr>
        <w:tblStyle w:val="TableGrid8"/>
        <w:tblW w:w="5000" w:type="pct"/>
        <w:tblLayout w:type="fixed"/>
        <w:tblLook w:val="04A0" w:firstRow="1" w:lastRow="0" w:firstColumn="1" w:lastColumn="0" w:noHBand="0" w:noVBand="1"/>
      </w:tblPr>
      <w:tblGrid>
        <w:gridCol w:w="572"/>
        <w:gridCol w:w="14816"/>
      </w:tblGrid>
      <w:tr w:rsidR="00EA182D" w:rsidRPr="004F3B43" w14:paraId="3993185B" w14:textId="77777777" w:rsidTr="000601C7">
        <w:trPr>
          <w:trHeight w:val="397"/>
          <w:tblHeader/>
        </w:trPr>
        <w:tc>
          <w:tcPr>
            <w:tcW w:w="186" w:type="pct"/>
            <w:shd w:val="clear" w:color="auto" w:fill="9CC2E5" w:themeFill="accent1" w:themeFillTint="99"/>
            <w:vAlign w:val="center"/>
          </w:tcPr>
          <w:p w14:paraId="17229187"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2435A8A2"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rPr>
              <w:t>Príspevok navrhovaného projektu k cieľom a výsledkom IROP a PO 9</w:t>
            </w:r>
          </w:p>
        </w:tc>
      </w:tr>
    </w:tbl>
    <w:p w14:paraId="5B1A3C2A" w14:textId="77777777" w:rsidR="00EA182D" w:rsidRPr="004F3B43" w:rsidRDefault="00EA182D" w:rsidP="00EA182D">
      <w:pPr>
        <w:spacing w:after="0"/>
      </w:pPr>
    </w:p>
    <w:tbl>
      <w:tblPr>
        <w:tblStyle w:val="TableGrid8"/>
        <w:tblW w:w="4995" w:type="pct"/>
        <w:tblLayout w:type="fixed"/>
        <w:tblLook w:val="04A0" w:firstRow="1" w:lastRow="0" w:firstColumn="1" w:lastColumn="0" w:noHBand="0" w:noVBand="1"/>
      </w:tblPr>
      <w:tblGrid>
        <w:gridCol w:w="576"/>
        <w:gridCol w:w="2384"/>
        <w:gridCol w:w="6242"/>
        <w:gridCol w:w="1341"/>
        <w:gridCol w:w="1393"/>
        <w:gridCol w:w="3437"/>
      </w:tblGrid>
      <w:tr w:rsidR="00EA182D" w:rsidRPr="004F3B43" w14:paraId="26A65405" w14:textId="77777777" w:rsidTr="000601C7">
        <w:trPr>
          <w:trHeight w:val="397"/>
          <w:tblHeader/>
        </w:trPr>
        <w:tc>
          <w:tcPr>
            <w:tcW w:w="187" w:type="pct"/>
            <w:shd w:val="clear" w:color="auto" w:fill="DEEAF6" w:themeFill="accent1" w:themeFillTint="33"/>
            <w:vAlign w:val="center"/>
          </w:tcPr>
          <w:p w14:paraId="188300AF"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proofErr w:type="spellStart"/>
            <w:r w:rsidRPr="004F3B43">
              <w:rPr>
                <w:rFonts w:ascii="Arial" w:eastAsia="Calibri" w:hAnsi="Arial" w:cs="Arial"/>
                <w:b/>
                <w:bCs/>
                <w:color w:val="000000" w:themeColor="text1"/>
                <w:sz w:val="19"/>
                <w:szCs w:val="19"/>
                <w:u w:color="000000"/>
                <w:bdr w:val="nil"/>
              </w:rPr>
              <w:t>P.č</w:t>
            </w:r>
            <w:proofErr w:type="spellEnd"/>
            <w:r w:rsidRPr="004F3B43">
              <w:rPr>
                <w:rFonts w:ascii="Arial" w:eastAsia="Calibri" w:hAnsi="Arial" w:cs="Arial"/>
                <w:b/>
                <w:bCs/>
                <w:color w:val="000000" w:themeColor="text1"/>
                <w:sz w:val="19"/>
                <w:szCs w:val="19"/>
                <w:u w:color="000000"/>
                <w:bdr w:val="nil"/>
              </w:rPr>
              <w:t>.</w:t>
            </w:r>
          </w:p>
        </w:tc>
        <w:tc>
          <w:tcPr>
            <w:tcW w:w="775" w:type="pct"/>
            <w:shd w:val="clear" w:color="auto" w:fill="DEEAF6" w:themeFill="accent1" w:themeFillTint="33"/>
            <w:vAlign w:val="center"/>
          </w:tcPr>
          <w:p w14:paraId="74BE02DA"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388057C3"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2EB3A357"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3C8E0FBB" w14:textId="77777777" w:rsidR="00EA182D" w:rsidRPr="004F3B43" w:rsidRDefault="00EA182D" w:rsidP="000601C7">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Hodnotenie</w:t>
            </w:r>
          </w:p>
        </w:tc>
        <w:tc>
          <w:tcPr>
            <w:tcW w:w="1118" w:type="pct"/>
            <w:shd w:val="clear" w:color="auto" w:fill="DEEAF6" w:themeFill="accent1" w:themeFillTint="33"/>
            <w:vAlign w:val="center"/>
          </w:tcPr>
          <w:p w14:paraId="30FE4B95"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Spôsob aplikácie hodnotiaceho kritéria</w:t>
            </w:r>
          </w:p>
        </w:tc>
      </w:tr>
      <w:tr w:rsidR="00EA182D" w:rsidRPr="004F3B43" w14:paraId="2B1BB475" w14:textId="77777777" w:rsidTr="000601C7">
        <w:trPr>
          <w:trHeight w:val="1910"/>
        </w:trPr>
        <w:tc>
          <w:tcPr>
            <w:tcW w:w="187" w:type="pct"/>
            <w:vMerge w:val="restart"/>
            <w:vAlign w:val="center"/>
          </w:tcPr>
          <w:p w14:paraId="55F202D5"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1.1</w:t>
            </w:r>
          </w:p>
        </w:tc>
        <w:tc>
          <w:tcPr>
            <w:tcW w:w="775" w:type="pct"/>
            <w:vMerge w:val="restart"/>
            <w:vAlign w:val="center"/>
          </w:tcPr>
          <w:p w14:paraId="40637601" w14:textId="77777777" w:rsidR="00EA182D" w:rsidRPr="004F3B43" w:rsidRDefault="00EA182D" w:rsidP="000601C7">
            <w:pPr>
              <w:spacing w:line="288" w:lineRule="auto"/>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42B2C8EC" w14:textId="77777777" w:rsidR="00EA182D" w:rsidRPr="004F3B43" w:rsidRDefault="00EA182D" w:rsidP="000601C7">
            <w:pPr>
              <w:spacing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 xml:space="preserve">Posudzuje sa súlad projektu s intervenčnou stratégiou IROP, prioritnou osou č. 9 – FAST-CARE, špecifickým cieľom </w:t>
            </w:r>
            <w:r w:rsidRPr="004F3B43">
              <w:rPr>
                <w:rFonts w:ascii="Arial" w:eastAsia="Times New Roman" w:hAnsi="Arial" w:cs="Arial"/>
                <w:color w:val="000000" w:themeColor="text1"/>
                <w:sz w:val="19"/>
                <w:szCs w:val="19"/>
                <w:lang w:bidi="en-US"/>
              </w:rPr>
              <w:t xml:space="preserve">9.1. – </w:t>
            </w:r>
            <w:r w:rsidRPr="004F3B43">
              <w:rPr>
                <w:rFonts w:ascii="Arial" w:hAnsi="Arial" w:cs="Arial"/>
                <w:color w:val="000000" w:themeColor="text1"/>
                <w:sz w:val="19"/>
                <w:szCs w:val="19"/>
              </w:rPr>
              <w:t>Riešenie migračných výziev v dôsledku vojenskej agresie voči Ukrajine.</w:t>
            </w:r>
          </w:p>
          <w:p w14:paraId="5FD2E74A" w14:textId="77777777" w:rsidR="00EA182D" w:rsidRPr="004F3B43" w:rsidRDefault="00EA182D" w:rsidP="000601C7">
            <w:pPr>
              <w:spacing w:line="288" w:lineRule="auto"/>
              <w:jc w:val="both"/>
              <w:rPr>
                <w:rFonts w:ascii="Arial" w:hAnsi="Arial" w:cs="Arial"/>
                <w:color w:val="000000" w:themeColor="text1"/>
                <w:sz w:val="8"/>
                <w:szCs w:val="8"/>
              </w:rPr>
            </w:pPr>
          </w:p>
          <w:p w14:paraId="38FFEEC1" w14:textId="77777777" w:rsidR="00EA182D" w:rsidRPr="004F3B43" w:rsidRDefault="00EA182D" w:rsidP="000601C7">
            <w:pPr>
              <w:spacing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Posudzuje sa správne zameranie projektu v rozsahu vecného súladu:</w:t>
            </w:r>
          </w:p>
          <w:p w14:paraId="4D773908" w14:textId="77777777" w:rsidR="00EA182D" w:rsidRPr="004F3B43" w:rsidRDefault="00EA182D" w:rsidP="00EA182D">
            <w:pPr>
              <w:numPr>
                <w:ilvl w:val="0"/>
                <w:numId w:val="2"/>
              </w:numPr>
              <w:spacing w:line="288" w:lineRule="auto"/>
              <w:ind w:left="389"/>
              <w:jc w:val="both"/>
              <w:rPr>
                <w:rFonts w:ascii="Arial" w:hAnsi="Arial" w:cs="Arial"/>
                <w:color w:val="000000" w:themeColor="text1"/>
                <w:sz w:val="19"/>
                <w:szCs w:val="19"/>
              </w:rPr>
            </w:pPr>
            <w:r w:rsidRPr="004F3B43">
              <w:rPr>
                <w:rFonts w:ascii="Arial" w:hAnsi="Arial" w:cs="Arial"/>
                <w:color w:val="000000" w:themeColor="text1"/>
                <w:sz w:val="19"/>
                <w:szCs w:val="19"/>
              </w:rPr>
              <w:t>projektu s príslušným špecifickým cieľom OP,</w:t>
            </w:r>
          </w:p>
          <w:p w14:paraId="71D3B65A" w14:textId="77777777" w:rsidR="00EA182D" w:rsidRPr="004F3B43" w:rsidRDefault="00EA182D" w:rsidP="00EA182D">
            <w:pPr>
              <w:numPr>
                <w:ilvl w:val="0"/>
                <w:numId w:val="2"/>
              </w:numPr>
              <w:spacing w:line="288" w:lineRule="auto"/>
              <w:ind w:left="389"/>
              <w:jc w:val="both"/>
              <w:rPr>
                <w:rFonts w:ascii="Arial" w:hAnsi="Arial" w:cs="Arial"/>
                <w:color w:val="000000" w:themeColor="text1"/>
                <w:sz w:val="19"/>
                <w:szCs w:val="19"/>
              </w:rPr>
            </w:pPr>
            <w:r w:rsidRPr="004F3B43">
              <w:rPr>
                <w:rFonts w:ascii="Arial" w:hAnsi="Arial" w:cs="Arial"/>
                <w:color w:val="000000" w:themeColor="text1"/>
                <w:sz w:val="19"/>
                <w:szCs w:val="19"/>
              </w:rPr>
              <w:t>cieľov projektu s očakávanými výsledkami IROP,</w:t>
            </w:r>
          </w:p>
          <w:p w14:paraId="6207A1B7" w14:textId="77777777" w:rsidR="00EA182D" w:rsidRPr="004F3B43" w:rsidRDefault="00EA182D" w:rsidP="00EA182D">
            <w:pPr>
              <w:numPr>
                <w:ilvl w:val="0"/>
                <w:numId w:val="2"/>
              </w:numPr>
              <w:spacing w:line="288" w:lineRule="auto"/>
              <w:ind w:left="389"/>
              <w:jc w:val="both"/>
              <w:rPr>
                <w:rFonts w:ascii="Arial" w:hAnsi="Arial" w:cs="Arial"/>
                <w:color w:val="000000" w:themeColor="text1"/>
                <w:sz w:val="19"/>
                <w:szCs w:val="19"/>
              </w:rPr>
            </w:pPr>
            <w:r w:rsidRPr="004F3B43">
              <w:rPr>
                <w:rFonts w:ascii="Arial" w:hAnsi="Arial" w:cs="Arial"/>
                <w:color w:val="000000" w:themeColor="text1"/>
                <w:sz w:val="19"/>
                <w:szCs w:val="19"/>
              </w:rPr>
              <w:t>hlavných aktivít projektu s definovanými oprávnenými aktivitami IROP.</w:t>
            </w:r>
          </w:p>
          <w:p w14:paraId="59D3CF9B" w14:textId="77777777" w:rsidR="00EA182D" w:rsidRPr="004F3B43" w:rsidRDefault="00EA182D" w:rsidP="000601C7">
            <w:pPr>
              <w:spacing w:line="288" w:lineRule="auto"/>
              <w:jc w:val="both"/>
              <w:rPr>
                <w:rFonts w:ascii="Arial" w:hAnsi="Arial" w:cs="Arial"/>
                <w:i/>
                <w:color w:val="000000" w:themeColor="text1"/>
                <w:sz w:val="8"/>
                <w:szCs w:val="8"/>
              </w:rPr>
            </w:pPr>
          </w:p>
          <w:p w14:paraId="2DD05D41" w14:textId="77777777" w:rsidR="00EA182D" w:rsidRPr="004F3B43" w:rsidRDefault="00EA182D" w:rsidP="000601C7">
            <w:pPr>
              <w:spacing w:line="288" w:lineRule="auto"/>
              <w:jc w:val="both"/>
              <w:rPr>
                <w:rFonts w:ascii="Arial" w:eastAsia="Times New Roman" w:hAnsi="Arial" w:cs="Arial"/>
                <w:color w:val="000000" w:themeColor="text1"/>
                <w:sz w:val="19"/>
                <w:szCs w:val="19"/>
                <w:lang w:bidi="en-US"/>
              </w:rPr>
            </w:pPr>
            <w:r w:rsidRPr="004F3B43">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9 v danej oblasti.</w:t>
            </w:r>
          </w:p>
        </w:tc>
        <w:tc>
          <w:tcPr>
            <w:tcW w:w="436" w:type="pct"/>
            <w:vMerge w:val="restart"/>
            <w:vAlign w:val="center"/>
          </w:tcPr>
          <w:p w14:paraId="2D964854"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Vylučujúce kritérium</w:t>
            </w:r>
          </w:p>
        </w:tc>
        <w:tc>
          <w:tcPr>
            <w:tcW w:w="453" w:type="pct"/>
            <w:vAlign w:val="center"/>
          </w:tcPr>
          <w:p w14:paraId="79617D74"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4F3B43">
              <w:rPr>
                <w:rFonts w:ascii="Arial" w:eastAsia="Helvetica" w:hAnsi="Arial" w:cs="Arial"/>
                <w:color w:val="000000" w:themeColor="text1"/>
                <w:sz w:val="19"/>
                <w:szCs w:val="19"/>
                <w:u w:color="000000"/>
                <w:bdr w:val="nil"/>
              </w:rPr>
              <w:t>áno</w:t>
            </w:r>
          </w:p>
          <w:p w14:paraId="2C16BB29"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7F16DCA5"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Zameranie projektu je v súlade s intervenčnou stratégiou IROP a </w:t>
            </w:r>
            <w:r w:rsidRPr="004F3B43">
              <w:rPr>
                <w:rFonts w:ascii="Arial" w:eastAsia="Times New Roman" w:hAnsi="Arial" w:cs="Arial"/>
                <w:color w:val="000000" w:themeColor="text1"/>
                <w:sz w:val="19"/>
                <w:szCs w:val="19"/>
                <w:lang w:bidi="en-US"/>
              </w:rPr>
              <w:t xml:space="preserve">spĺňa všetky tri </w:t>
            </w:r>
            <w:r w:rsidRPr="004F3B43">
              <w:rPr>
                <w:rFonts w:ascii="Arial" w:eastAsia="Times New Roman" w:hAnsi="Arial" w:cs="Arial"/>
                <w:color w:val="000000" w:themeColor="text1"/>
                <w:sz w:val="19"/>
                <w:szCs w:val="19"/>
              </w:rPr>
              <w:t>požiadavky</w:t>
            </w:r>
            <w:r w:rsidRPr="004F3B43">
              <w:rPr>
                <w:rFonts w:ascii="Arial" w:eastAsia="Times New Roman" w:hAnsi="Arial" w:cs="Arial"/>
                <w:color w:val="000000" w:themeColor="text1"/>
                <w:sz w:val="19"/>
                <w:szCs w:val="19"/>
                <w:lang w:bidi="en-US"/>
              </w:rPr>
              <w:t xml:space="preserve"> vecného súladu a </w:t>
            </w:r>
            <w:r w:rsidRPr="004F3B43">
              <w:rPr>
                <w:rFonts w:ascii="Arial" w:eastAsia="Times New Roman" w:hAnsi="Arial" w:cs="Arial"/>
                <w:color w:val="000000" w:themeColor="text1"/>
                <w:sz w:val="19"/>
                <w:szCs w:val="19"/>
              </w:rPr>
              <w:t>intervenčnej</w:t>
            </w:r>
            <w:r w:rsidRPr="004F3B43">
              <w:rPr>
                <w:rFonts w:ascii="Arial" w:eastAsia="Times New Roman" w:hAnsi="Arial" w:cs="Arial"/>
                <w:color w:val="000000" w:themeColor="text1"/>
                <w:sz w:val="19"/>
                <w:szCs w:val="19"/>
                <w:lang w:bidi="en-US"/>
              </w:rPr>
              <w:t xml:space="preserve"> logiky.</w:t>
            </w:r>
          </w:p>
        </w:tc>
      </w:tr>
      <w:tr w:rsidR="00EA182D" w:rsidRPr="004F3B43" w14:paraId="61D5BE36" w14:textId="77777777" w:rsidTr="000601C7">
        <w:trPr>
          <w:trHeight w:val="733"/>
        </w:trPr>
        <w:tc>
          <w:tcPr>
            <w:tcW w:w="187" w:type="pct"/>
            <w:vMerge/>
            <w:vAlign w:val="center"/>
          </w:tcPr>
          <w:p w14:paraId="60E6B28F"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775" w:type="pct"/>
            <w:vMerge/>
            <w:vAlign w:val="center"/>
          </w:tcPr>
          <w:p w14:paraId="0D5D11C9" w14:textId="77777777" w:rsidR="00EA182D" w:rsidRPr="004F3B43" w:rsidRDefault="00EA182D" w:rsidP="000601C7">
            <w:pPr>
              <w:spacing w:line="288" w:lineRule="auto"/>
              <w:rPr>
                <w:rFonts w:ascii="Arial" w:eastAsia="Helvetica" w:hAnsi="Arial" w:cs="Arial"/>
                <w:color w:val="000000" w:themeColor="text1"/>
                <w:sz w:val="19"/>
                <w:szCs w:val="19"/>
              </w:rPr>
            </w:pPr>
          </w:p>
        </w:tc>
        <w:tc>
          <w:tcPr>
            <w:tcW w:w="2030" w:type="pct"/>
            <w:vMerge/>
            <w:vAlign w:val="center"/>
          </w:tcPr>
          <w:p w14:paraId="46800CD5" w14:textId="77777777" w:rsidR="00EA182D" w:rsidRPr="004F3B43" w:rsidRDefault="00EA182D" w:rsidP="000601C7">
            <w:pPr>
              <w:spacing w:line="288" w:lineRule="auto"/>
              <w:rPr>
                <w:rFonts w:ascii="Arial" w:eastAsia="Calibri" w:hAnsi="Arial" w:cs="Arial"/>
                <w:color w:val="000000" w:themeColor="text1"/>
                <w:sz w:val="19"/>
                <w:szCs w:val="19"/>
              </w:rPr>
            </w:pPr>
          </w:p>
        </w:tc>
        <w:tc>
          <w:tcPr>
            <w:tcW w:w="436" w:type="pct"/>
            <w:vMerge/>
            <w:vAlign w:val="center"/>
          </w:tcPr>
          <w:p w14:paraId="397925CA"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453" w:type="pct"/>
            <w:vAlign w:val="center"/>
          </w:tcPr>
          <w:p w14:paraId="77AB8B20"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4F3B43">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0B05352D" w14:textId="77777777" w:rsidR="00EA182D" w:rsidRPr="004F3B43" w:rsidRDefault="00EA182D" w:rsidP="000601C7">
            <w:pPr>
              <w:spacing w:line="288" w:lineRule="auto"/>
              <w:jc w:val="both"/>
              <w:rPr>
                <w:rFonts w:ascii="Arial" w:eastAsia="Calibri" w:hAnsi="Arial" w:cs="Arial"/>
                <w:color w:val="000000" w:themeColor="text1"/>
                <w:sz w:val="19"/>
                <w:szCs w:val="19"/>
              </w:rPr>
            </w:pPr>
            <w:r w:rsidRPr="004F3B43">
              <w:rPr>
                <w:rFonts w:ascii="Arial" w:eastAsia="Helvetica" w:hAnsi="Arial" w:cs="Arial"/>
                <w:color w:val="000000" w:themeColor="text1"/>
                <w:sz w:val="19"/>
                <w:szCs w:val="19"/>
              </w:rPr>
              <w:t>Zameranie projektu nie je v súlade s intervenčnou stratégiou IROP.</w:t>
            </w:r>
            <w:r w:rsidRPr="004F3B43">
              <w:rPr>
                <w:rFonts w:ascii="Arial" w:hAnsi="Arial" w:cs="Arial"/>
                <w:color w:val="000000" w:themeColor="text1"/>
                <w:sz w:val="19"/>
                <w:szCs w:val="19"/>
              </w:rPr>
              <w:t xml:space="preserve"> Ak nie je splnená aspoň jedna požiadavka, projekt nesplnil kritérium súladu projektu s intervenčnou stratégiou IROP.</w:t>
            </w:r>
          </w:p>
        </w:tc>
      </w:tr>
    </w:tbl>
    <w:p w14:paraId="5FEF06AA" w14:textId="77777777" w:rsidR="00EA182D" w:rsidRPr="004F3B43"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najmä informácie uvedené v častiach ŽoNFP: 5. Identifikácia projektu, 7. Popis projektu, 8. Popis cieľovej skupiny, 10.1 Aktivity projektu a očakávané merateľné ukazovatele.</w:t>
      </w:r>
    </w:p>
    <w:p w14:paraId="6FDF9AEC" w14:textId="77777777" w:rsidR="00EA182D" w:rsidRPr="004F3B43"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plnenie nasledovných oblastí:</w:t>
      </w:r>
    </w:p>
    <w:p w14:paraId="7047308A" w14:textId="77777777" w:rsidR="00EA182D" w:rsidRPr="004F3B43" w:rsidRDefault="00EA182D" w:rsidP="00EA182D">
      <w:pPr>
        <w:numPr>
          <w:ilvl w:val="0"/>
          <w:numId w:val="3"/>
        </w:numPr>
        <w:spacing w:before="120" w:after="120" w:line="288" w:lineRule="auto"/>
        <w:jc w:val="both"/>
        <w:rPr>
          <w:rFonts w:ascii="Arial" w:hAnsi="Arial" w:cs="Arial"/>
          <w:b/>
          <w:bCs/>
          <w:color w:val="000000" w:themeColor="text1"/>
          <w:sz w:val="19"/>
          <w:szCs w:val="19"/>
        </w:rPr>
      </w:pPr>
      <w:r w:rsidRPr="004F3B43">
        <w:rPr>
          <w:rFonts w:ascii="Arial" w:hAnsi="Arial" w:cs="Arial"/>
          <w:b/>
          <w:bCs/>
          <w:color w:val="000000" w:themeColor="text1"/>
          <w:sz w:val="19"/>
          <w:szCs w:val="19"/>
        </w:rPr>
        <w:t xml:space="preserve">súlad projektu so špecifickým cieľom 9.1 </w:t>
      </w:r>
    </w:p>
    <w:p w14:paraId="761E120B" w14:textId="77777777" w:rsidR="00EA182D" w:rsidRPr="004F3B43" w:rsidRDefault="00EA182D" w:rsidP="00EA182D">
      <w:pPr>
        <w:spacing w:before="120"/>
        <w:jc w:val="both"/>
        <w:rPr>
          <w:rFonts w:ascii="Arial" w:hAnsi="Arial" w:cs="Arial"/>
          <w:color w:val="000000" w:themeColor="text1"/>
          <w:sz w:val="19"/>
          <w:szCs w:val="19"/>
        </w:rPr>
      </w:pPr>
      <w:r w:rsidRPr="004F3B43">
        <w:rPr>
          <w:rFonts w:ascii="Arial" w:hAnsi="Arial" w:cs="Arial"/>
          <w:color w:val="000000" w:themeColor="text1"/>
          <w:sz w:val="19"/>
          <w:szCs w:val="19"/>
        </w:rPr>
        <w:t>Hodnotí sa (áno/nie), či žiadosť o NFP prispieva k cieľom PO 9 FAST-CARE a je v súlade so špecifickým cieľom 9.1, ktorého cieľom je pokryť náklady súvisiace s rýchlou reakciou sektorov štátu na potreby skupiny utečencov s dočasným útočiskom, ktorí prišli na Slovensko v období marec – november 2022.</w:t>
      </w:r>
    </w:p>
    <w:p w14:paraId="7AA73032" w14:textId="12153FAF" w:rsidR="00EA182D" w:rsidRPr="004F3B43" w:rsidRDefault="00EA182D" w:rsidP="00EA182D">
      <w:pPr>
        <w:spacing w:before="120"/>
        <w:jc w:val="both"/>
        <w:rPr>
          <w:rFonts w:ascii="Arial" w:hAnsi="Arial" w:cs="Arial"/>
          <w:color w:val="000000" w:themeColor="text1"/>
          <w:sz w:val="19"/>
          <w:szCs w:val="19"/>
        </w:rPr>
      </w:pPr>
      <w:r w:rsidRPr="004F3B43">
        <w:rPr>
          <w:rFonts w:ascii="Arial" w:hAnsi="Arial" w:cs="Arial"/>
          <w:color w:val="000000" w:themeColor="text1"/>
          <w:sz w:val="19"/>
          <w:szCs w:val="19"/>
        </w:rPr>
        <w:t>Štátne orgány vynaložili značné sumy na podporu základných potrieb registrovaných utečencov, počnúc ich prvým prijatím, zabezpečením stravy, spotrebného materiálu, špecifickou materiálnou pomocou (v prípade potreby deťom alebo postihnutým), poradenstvom, zdravotnou a psychologickou pomocou a administratívnou podporou vrátane tlmočenia. Tieto boli nasledovné:</w:t>
      </w:r>
    </w:p>
    <w:p w14:paraId="7AF0E645"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lastRenderedPageBreak/>
        <w:t xml:space="preserve">Všeobecný spotrebný materiál – základná materiálna pomoc, hygienické balíčky, prikrývky, oblečenie, lieky bez lekárskeho predpisu, spacie vaky atď. </w:t>
      </w:r>
    </w:p>
    <w:p w14:paraId="06BEEBDE"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Špecifický spotrebný materiál pre detí najmä maloleté osoby bez sprievodu a pre zdravotne postihnuté osoby - učebné materiály, plienky, dojčenské fľaše, lieky na základe lekárskeho predpisu, invalidné vozíky, rôzne zdravotné pomôcky, polohovateľné postele atď.</w:t>
      </w:r>
    </w:p>
    <w:p w14:paraId="656B4E6E"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Potraviny a ich poskytovanie – potravinové balíčky, teplá strava, zabezpečenie poskytnutia stravy internými a externými kapacitami (</w:t>
      </w:r>
      <w:proofErr w:type="spellStart"/>
      <w:r w:rsidRPr="004F3B43">
        <w:rPr>
          <w:rFonts w:ascii="Arial" w:hAnsi="Arial" w:cs="Arial"/>
          <w:color w:val="000000" w:themeColor="text1"/>
          <w:sz w:val="19"/>
          <w:szCs w:val="19"/>
          <w:lang w:val="sk-SK"/>
        </w:rPr>
        <w:t>catering</w:t>
      </w:r>
      <w:proofErr w:type="spellEnd"/>
      <w:r w:rsidRPr="004F3B43">
        <w:rPr>
          <w:rFonts w:ascii="Arial" w:hAnsi="Arial" w:cs="Arial"/>
          <w:color w:val="000000" w:themeColor="text1"/>
          <w:sz w:val="19"/>
          <w:szCs w:val="19"/>
          <w:lang w:val="sk-SK"/>
        </w:rPr>
        <w:t xml:space="preserve">) atď. </w:t>
      </w:r>
    </w:p>
    <w:p w14:paraId="60ACC74C"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Poskytovanie dopravy – zabezpečenie prepravy utečencov, ich osobného vlastníctva a poskytnutej pomoci na území Slovenskej republiky prostredníctvom osobných aut, dodávok, školských autobusov atď.</w:t>
      </w:r>
    </w:p>
    <w:p w14:paraId="5F6699AE"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Všeobecná a špecifická zdravotná a psychologická pomoc – služby všeobecných a špecializovaných lekárov, pediatrov, psychológov, rôznych konzultantov a mediátorov na zvládnutie krízových a stresových situácií, sestričiek, opatrovateľov atď.</w:t>
      </w:r>
    </w:p>
    <w:p w14:paraId="7E2297B3"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 xml:space="preserve">Administratívna podpora a informovanie o právach a poskytovanej podpore – zmena predpisov (zákonov, nariadení, uznesení, všeobecne záväzných nariadení obcí) pre poskytovanie tovarov a služieb na pokrytie základných potrieb utečencov s dočasným útočiskom, zber informácií, triedenie informácií, zverejnenie informácií a najmä osobné poskytovanie informácií na úradoch, autobusových, železničných staniciach, školách atď.  </w:t>
      </w:r>
    </w:p>
    <w:p w14:paraId="1022B906" w14:textId="77777777" w:rsidR="00EA182D" w:rsidRPr="004F3B43" w:rsidRDefault="00EA182D" w:rsidP="00EA182D">
      <w:pPr>
        <w:pStyle w:val="Odsekzoznamu"/>
        <w:numPr>
          <w:ilvl w:val="0"/>
          <w:numId w:val="8"/>
        </w:numPr>
        <w:spacing w:before="12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 xml:space="preserve">Tlmočenie a prekladateľské služby – tlmočenie v úradnom styku online, osobne a telefonicky (úrady, školy, škôlky, zdravotnícke a ubytovacie zariadenia...), preklady materiálov (brožúry, tlačivá, formuláre, knihy, publikácie) atď.   </w:t>
      </w:r>
    </w:p>
    <w:p w14:paraId="1F20CC8F" w14:textId="77777777" w:rsidR="00EA182D" w:rsidRPr="004F3B43" w:rsidRDefault="00EA182D" w:rsidP="00EA182D">
      <w:pPr>
        <w:numPr>
          <w:ilvl w:val="0"/>
          <w:numId w:val="3"/>
        </w:numPr>
        <w:spacing w:before="120" w:after="120" w:line="288" w:lineRule="auto"/>
        <w:ind w:left="709"/>
        <w:jc w:val="both"/>
        <w:rPr>
          <w:rFonts w:ascii="Arial" w:hAnsi="Arial" w:cs="Arial"/>
          <w:color w:val="000000" w:themeColor="text1"/>
          <w:sz w:val="19"/>
          <w:szCs w:val="19"/>
        </w:rPr>
      </w:pPr>
      <w:r w:rsidRPr="004F3B43">
        <w:rPr>
          <w:rFonts w:ascii="Arial" w:hAnsi="Arial" w:cs="Arial"/>
          <w:b/>
          <w:color w:val="000000" w:themeColor="text1"/>
          <w:sz w:val="19"/>
          <w:szCs w:val="19"/>
        </w:rPr>
        <w:t xml:space="preserve">súlad cieľov projektu s očakávanými výsledkami IROP </w:t>
      </w:r>
    </w:p>
    <w:p w14:paraId="48545853" w14:textId="77777777" w:rsidR="00EA182D" w:rsidRPr="004F3B43" w:rsidRDefault="00EA182D" w:rsidP="00EA182D">
      <w:pPr>
        <w:rPr>
          <w:rFonts w:ascii="Arial" w:hAnsi="Arial" w:cs="Arial"/>
          <w:bCs/>
          <w:color w:val="000000" w:themeColor="text1"/>
          <w:sz w:val="19"/>
          <w:szCs w:val="19"/>
        </w:rPr>
      </w:pPr>
      <w:r w:rsidRPr="004F3B43">
        <w:rPr>
          <w:rFonts w:ascii="Arial" w:hAnsi="Arial" w:cs="Arial"/>
          <w:bCs/>
          <w:color w:val="000000" w:themeColor="text1"/>
          <w:sz w:val="19"/>
          <w:szCs w:val="19"/>
        </w:rPr>
        <w:t xml:space="preserve">Hodnotí sa </w:t>
      </w:r>
      <w:r w:rsidRPr="004F3B43">
        <w:rPr>
          <w:rFonts w:ascii="Arial" w:hAnsi="Arial" w:cs="Arial"/>
          <w:color w:val="000000" w:themeColor="text1"/>
          <w:sz w:val="19"/>
          <w:szCs w:val="19"/>
        </w:rPr>
        <w:t>(áno/nie)</w:t>
      </w:r>
      <w:r w:rsidRPr="004F3B43">
        <w:rPr>
          <w:rFonts w:ascii="Arial" w:hAnsi="Arial" w:cs="Arial"/>
          <w:bCs/>
          <w:color w:val="000000" w:themeColor="text1"/>
          <w:sz w:val="19"/>
          <w:szCs w:val="19"/>
        </w:rPr>
        <w:t xml:space="preserve">, či je </w:t>
      </w:r>
      <w:r w:rsidRPr="004F3B43">
        <w:rPr>
          <w:rFonts w:ascii="Arial" w:hAnsi="Arial" w:cs="Arial"/>
          <w:color w:val="000000" w:themeColor="text1"/>
          <w:sz w:val="19"/>
          <w:szCs w:val="19"/>
        </w:rPr>
        <w:t xml:space="preserve">žiadosť o NFP svojimi aktivitami konzistentne zameraná na </w:t>
      </w:r>
      <w:r w:rsidRPr="004F3B43">
        <w:rPr>
          <w:rFonts w:ascii="Arial" w:hAnsi="Arial" w:cs="Arial"/>
          <w:bCs/>
          <w:color w:val="000000" w:themeColor="text1"/>
          <w:sz w:val="19"/>
          <w:szCs w:val="19"/>
        </w:rPr>
        <w:t xml:space="preserve">dosiahnutie všetkých výsledkov </w:t>
      </w:r>
      <w:r w:rsidRPr="004F3B43">
        <w:rPr>
          <w:rFonts w:ascii="Arial" w:hAnsi="Arial" w:cs="Arial"/>
          <w:color w:val="000000" w:themeColor="text1"/>
          <w:sz w:val="19"/>
          <w:szCs w:val="19"/>
        </w:rPr>
        <w:t>ŠC 9.1. - Riešenie migračných výziev v dôsledku vojenskej agresie voči Ukrajine, ktoré sú definované nasledovne: </w:t>
      </w:r>
    </w:p>
    <w:p w14:paraId="66CD41D7" w14:textId="77777777" w:rsidR="00EA182D" w:rsidRPr="004F3B43" w:rsidRDefault="00EA182D" w:rsidP="00EA182D">
      <w:pPr>
        <w:numPr>
          <w:ilvl w:val="0"/>
          <w:numId w:val="7"/>
        </w:numPr>
        <w:spacing w:after="0" w:line="276" w:lineRule="auto"/>
        <w:ind w:left="714" w:hanging="357"/>
        <w:jc w:val="both"/>
        <w:rPr>
          <w:rFonts w:ascii="Arial" w:hAnsi="Arial" w:cs="Arial"/>
        </w:rPr>
      </w:pPr>
      <w:r w:rsidRPr="004F3B43">
        <w:rPr>
          <w:rFonts w:ascii="Arial" w:hAnsi="Arial" w:cs="Arial"/>
          <w:sz w:val="19"/>
          <w:szCs w:val="19"/>
        </w:rPr>
        <w:t>Technická, materiálna, organizačná a ďalšia pomoc osobám s dočasným útočiskom, ako poskytnutie prístrešia, zabezpečenie stravy, spotrebného materiálu, špecifickej materiálnej pomoci (v prípade potreby deťom alebo postihnutým), poradenstva, zdravotnej a psychologickej pomoci a administratívnej podpory (napr. sprevádzania, vyhľadávania a poskytovania informácií) vrátane tlmočenia poskytované štátnymi orgánmi</w:t>
      </w:r>
      <w:r w:rsidRPr="004F3B43">
        <w:rPr>
          <w:rFonts w:ascii="Arial" w:hAnsi="Arial" w:cs="Arial"/>
        </w:rPr>
        <w:t>.</w:t>
      </w:r>
    </w:p>
    <w:p w14:paraId="6B63BF34" w14:textId="77777777" w:rsidR="00EA182D" w:rsidRPr="004F3B43" w:rsidRDefault="00EA182D" w:rsidP="00EA182D">
      <w:pPr>
        <w:numPr>
          <w:ilvl w:val="0"/>
          <w:numId w:val="4"/>
        </w:numPr>
        <w:spacing w:before="120" w:after="120" w:line="288" w:lineRule="auto"/>
        <w:jc w:val="both"/>
        <w:rPr>
          <w:rFonts w:ascii="Arial" w:hAnsi="Arial" w:cs="Arial"/>
          <w:b/>
          <w:color w:val="000000" w:themeColor="text1"/>
          <w:sz w:val="19"/>
          <w:szCs w:val="19"/>
        </w:rPr>
      </w:pPr>
      <w:r w:rsidRPr="004F3B43">
        <w:rPr>
          <w:rFonts w:ascii="Arial" w:hAnsi="Arial" w:cs="Arial"/>
          <w:b/>
          <w:bCs/>
          <w:color w:val="000000" w:themeColor="text1"/>
          <w:sz w:val="19"/>
          <w:szCs w:val="19"/>
        </w:rPr>
        <w:t>súlad hlavných aktivít projektu s definovanými oprávnenými aktivitami</w:t>
      </w:r>
      <w:r w:rsidRPr="004F3B43" w:rsidDel="00926CF2">
        <w:rPr>
          <w:rFonts w:ascii="Arial" w:hAnsi="Arial" w:cs="Arial"/>
          <w:b/>
          <w:bCs/>
          <w:color w:val="000000" w:themeColor="text1"/>
          <w:sz w:val="19"/>
          <w:szCs w:val="19"/>
        </w:rPr>
        <w:t xml:space="preserve"> </w:t>
      </w:r>
      <w:r w:rsidRPr="004F3B43">
        <w:rPr>
          <w:rFonts w:ascii="Arial" w:hAnsi="Arial" w:cs="Arial"/>
          <w:b/>
          <w:bCs/>
          <w:color w:val="000000" w:themeColor="text1"/>
          <w:sz w:val="19"/>
          <w:szCs w:val="19"/>
        </w:rPr>
        <w:t>IROP</w:t>
      </w:r>
    </w:p>
    <w:p w14:paraId="6CAB0F85" w14:textId="77777777" w:rsidR="00EA182D" w:rsidRPr="004F3B43" w:rsidRDefault="00EA182D" w:rsidP="00EA182D">
      <w:pPr>
        <w:spacing w:before="120" w:after="120" w:line="288" w:lineRule="auto"/>
        <w:jc w:val="both"/>
        <w:rPr>
          <w:rFonts w:ascii="Arial" w:hAnsi="Arial" w:cs="Arial"/>
          <w:b/>
          <w:color w:val="000000" w:themeColor="text1"/>
          <w:sz w:val="19"/>
          <w:szCs w:val="19"/>
        </w:rPr>
      </w:pPr>
      <w:r w:rsidRPr="004F3B43">
        <w:rPr>
          <w:rFonts w:ascii="Arial" w:hAnsi="Arial" w:cs="Arial"/>
          <w:color w:val="000000" w:themeColor="text1"/>
          <w:sz w:val="19"/>
          <w:szCs w:val="19"/>
        </w:rPr>
        <w:t>Hodnotí sa (áno/nie), či je žiadosť o NFP v súlade s definovanými oprávnenými aktivitami IROP:</w:t>
      </w:r>
    </w:p>
    <w:p w14:paraId="797F553A" w14:textId="77777777" w:rsidR="00EA182D" w:rsidRPr="004F3B43" w:rsidRDefault="00EA182D" w:rsidP="00EA182D">
      <w:pPr>
        <w:numPr>
          <w:ilvl w:val="0"/>
          <w:numId w:val="7"/>
        </w:numPr>
        <w:spacing w:after="0" w:line="276" w:lineRule="auto"/>
        <w:ind w:left="714" w:hanging="357"/>
        <w:jc w:val="both"/>
        <w:rPr>
          <w:rFonts w:ascii="Arial" w:hAnsi="Arial" w:cs="Arial"/>
          <w:sz w:val="19"/>
          <w:szCs w:val="19"/>
        </w:rPr>
      </w:pPr>
      <w:r w:rsidRPr="004F3B43">
        <w:rPr>
          <w:rFonts w:ascii="Arial" w:hAnsi="Arial" w:cs="Arial"/>
          <w:sz w:val="19"/>
          <w:szCs w:val="19"/>
        </w:rPr>
        <w:t xml:space="preserve">Zabezpečenie základných potrieb a podpory osôb s dočasným útočiskom na území Slovenskej republiky </w:t>
      </w:r>
    </w:p>
    <w:p w14:paraId="24F59246" w14:textId="77777777" w:rsidR="00EA182D" w:rsidRPr="004F3B43" w:rsidRDefault="00EA182D" w:rsidP="00EA182D">
      <w:pPr>
        <w:spacing w:after="0" w:line="288" w:lineRule="auto"/>
        <w:jc w:val="both"/>
        <w:rPr>
          <w:rFonts w:ascii="Arial" w:hAnsi="Arial" w:cs="Arial"/>
          <w:color w:val="000000" w:themeColor="text1"/>
          <w:sz w:val="19"/>
          <w:szCs w:val="19"/>
        </w:rPr>
      </w:pPr>
    </w:p>
    <w:p w14:paraId="7BF9592C" w14:textId="77777777" w:rsidR="00EA182D" w:rsidRPr="004F3B43" w:rsidRDefault="00EA182D" w:rsidP="00EA182D">
      <w:pPr>
        <w:spacing w:after="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27DEF3B5" w14:textId="5438E0FC" w:rsidR="00EA182D" w:rsidRDefault="00EA182D" w:rsidP="00EA182D">
      <w:pPr>
        <w:spacing w:after="0" w:line="288" w:lineRule="auto"/>
        <w:jc w:val="both"/>
        <w:rPr>
          <w:rFonts w:ascii="Arial" w:hAnsi="Arial" w:cs="Arial"/>
          <w:color w:val="000000" w:themeColor="text1"/>
          <w:sz w:val="19"/>
          <w:szCs w:val="19"/>
        </w:rPr>
      </w:pPr>
    </w:p>
    <w:p w14:paraId="251BF72B" w14:textId="3CE5FB5F" w:rsidR="00C7290B" w:rsidRDefault="00C7290B" w:rsidP="00EA182D">
      <w:pPr>
        <w:spacing w:after="0" w:line="288" w:lineRule="auto"/>
        <w:jc w:val="both"/>
        <w:rPr>
          <w:rFonts w:ascii="Arial" w:hAnsi="Arial" w:cs="Arial"/>
          <w:color w:val="000000" w:themeColor="text1"/>
          <w:sz w:val="19"/>
          <w:szCs w:val="19"/>
        </w:rPr>
      </w:pPr>
    </w:p>
    <w:p w14:paraId="5DE941AE" w14:textId="588985B4" w:rsidR="00C7290B" w:rsidRDefault="00C7290B" w:rsidP="00EA182D">
      <w:pPr>
        <w:spacing w:after="0" w:line="288" w:lineRule="auto"/>
        <w:jc w:val="both"/>
        <w:rPr>
          <w:rFonts w:ascii="Arial" w:hAnsi="Arial" w:cs="Arial"/>
          <w:color w:val="000000" w:themeColor="text1"/>
          <w:sz w:val="19"/>
          <w:szCs w:val="19"/>
        </w:rPr>
      </w:pPr>
    </w:p>
    <w:p w14:paraId="2EDB2DE6" w14:textId="297C8C6D" w:rsidR="00C7290B" w:rsidRDefault="00C7290B" w:rsidP="00EA182D">
      <w:pPr>
        <w:spacing w:after="0" w:line="288" w:lineRule="auto"/>
        <w:jc w:val="both"/>
        <w:rPr>
          <w:rFonts w:ascii="Arial" w:hAnsi="Arial" w:cs="Arial"/>
          <w:color w:val="000000" w:themeColor="text1"/>
          <w:sz w:val="19"/>
          <w:szCs w:val="19"/>
        </w:rPr>
      </w:pPr>
    </w:p>
    <w:p w14:paraId="2A23EA18" w14:textId="3ED872E9" w:rsidR="00C7290B" w:rsidRDefault="00C7290B" w:rsidP="00EA182D">
      <w:pPr>
        <w:spacing w:after="0" w:line="288" w:lineRule="auto"/>
        <w:jc w:val="both"/>
        <w:rPr>
          <w:rFonts w:ascii="Arial" w:hAnsi="Arial" w:cs="Arial"/>
          <w:color w:val="000000" w:themeColor="text1"/>
          <w:sz w:val="19"/>
          <w:szCs w:val="19"/>
        </w:rPr>
      </w:pPr>
    </w:p>
    <w:p w14:paraId="10BD2678" w14:textId="77777777" w:rsidR="00C7290B" w:rsidRPr="004F3B43" w:rsidRDefault="00C7290B" w:rsidP="00EA182D">
      <w:pPr>
        <w:spacing w:after="0" w:line="288" w:lineRule="auto"/>
        <w:jc w:val="both"/>
        <w:rPr>
          <w:rFonts w:ascii="Arial" w:hAnsi="Arial" w:cs="Arial"/>
          <w:color w:val="000000" w:themeColor="text1"/>
          <w:sz w:val="19"/>
          <w:szCs w:val="19"/>
        </w:rPr>
      </w:pPr>
    </w:p>
    <w:p w14:paraId="2F383102" w14:textId="77777777" w:rsidR="00EA182D" w:rsidRPr="004F3B43" w:rsidRDefault="00EA182D" w:rsidP="00EA182D">
      <w:pPr>
        <w:spacing w:after="0" w:line="288" w:lineRule="auto"/>
        <w:jc w:val="both"/>
        <w:rPr>
          <w:rFonts w:ascii="Arial" w:hAnsi="Arial" w:cs="Arial"/>
          <w:color w:val="000000" w:themeColor="text1"/>
          <w:sz w:val="19"/>
          <w:szCs w:val="19"/>
        </w:rPr>
      </w:pPr>
    </w:p>
    <w:p w14:paraId="19BCF3CB" w14:textId="77777777" w:rsidR="00EA182D" w:rsidRPr="004F3B43" w:rsidRDefault="00EA182D" w:rsidP="00EA182D">
      <w:pPr>
        <w:spacing w:after="0" w:line="288" w:lineRule="auto"/>
        <w:jc w:val="both"/>
        <w:rPr>
          <w:rFonts w:ascii="Arial"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72"/>
        <w:gridCol w:w="14816"/>
      </w:tblGrid>
      <w:tr w:rsidR="00EA182D" w:rsidRPr="004F3B43" w14:paraId="0B8F360C" w14:textId="77777777" w:rsidTr="000601C7">
        <w:trPr>
          <w:trHeight w:val="397"/>
          <w:tblHeader/>
        </w:trPr>
        <w:tc>
          <w:tcPr>
            <w:tcW w:w="186" w:type="pct"/>
            <w:shd w:val="clear" w:color="auto" w:fill="9CC2E5" w:themeFill="accent1" w:themeFillTint="99"/>
            <w:vAlign w:val="center"/>
          </w:tcPr>
          <w:p w14:paraId="00E172F7"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lastRenderedPageBreak/>
              <w:t>2.</w:t>
            </w:r>
          </w:p>
        </w:tc>
        <w:tc>
          <w:tcPr>
            <w:tcW w:w="4814" w:type="pct"/>
            <w:shd w:val="clear" w:color="auto" w:fill="9CC2E5" w:themeFill="accent1" w:themeFillTint="99"/>
            <w:vAlign w:val="center"/>
          </w:tcPr>
          <w:p w14:paraId="64041464"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rPr>
              <w:t>Navrhovaný spôsob realizácie projektu</w:t>
            </w:r>
          </w:p>
        </w:tc>
      </w:tr>
    </w:tbl>
    <w:p w14:paraId="101910A7" w14:textId="77777777" w:rsidR="00EA182D" w:rsidRPr="004F3B43" w:rsidRDefault="00EA182D" w:rsidP="00EA182D">
      <w:pPr>
        <w:spacing w:after="0"/>
      </w:pPr>
    </w:p>
    <w:tbl>
      <w:tblPr>
        <w:tblStyle w:val="TableGrid8"/>
        <w:tblW w:w="4994" w:type="pct"/>
        <w:tblInd w:w="-5" w:type="dxa"/>
        <w:tblLayout w:type="fixed"/>
        <w:tblLook w:val="04A0" w:firstRow="1" w:lastRow="0" w:firstColumn="1" w:lastColumn="0" w:noHBand="0" w:noVBand="1"/>
      </w:tblPr>
      <w:tblGrid>
        <w:gridCol w:w="588"/>
        <w:gridCol w:w="2453"/>
        <w:gridCol w:w="4937"/>
        <w:gridCol w:w="1263"/>
        <w:gridCol w:w="1386"/>
        <w:gridCol w:w="4743"/>
      </w:tblGrid>
      <w:tr w:rsidR="00EA182D" w:rsidRPr="004F3B43" w14:paraId="026DC780" w14:textId="77777777" w:rsidTr="000601C7">
        <w:trPr>
          <w:trHeight w:val="397"/>
          <w:tblHeader/>
        </w:trPr>
        <w:tc>
          <w:tcPr>
            <w:tcW w:w="191" w:type="pct"/>
            <w:shd w:val="clear" w:color="auto" w:fill="DEEAF6" w:themeFill="accent1" w:themeFillTint="33"/>
            <w:vAlign w:val="center"/>
          </w:tcPr>
          <w:p w14:paraId="2CA0832D"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proofErr w:type="spellStart"/>
            <w:r w:rsidRPr="004F3B43">
              <w:rPr>
                <w:rFonts w:ascii="Arial" w:eastAsia="Calibri" w:hAnsi="Arial" w:cs="Arial"/>
                <w:b/>
                <w:bCs/>
                <w:color w:val="000000" w:themeColor="text1"/>
                <w:sz w:val="19"/>
                <w:szCs w:val="19"/>
                <w:u w:color="000000"/>
                <w:bdr w:val="nil"/>
              </w:rPr>
              <w:t>P.č</w:t>
            </w:r>
            <w:proofErr w:type="spellEnd"/>
            <w:r w:rsidRPr="004F3B43">
              <w:rPr>
                <w:rFonts w:ascii="Arial" w:eastAsia="Calibri" w:hAnsi="Arial" w:cs="Arial"/>
                <w:b/>
                <w:bCs/>
                <w:color w:val="000000" w:themeColor="text1"/>
                <w:sz w:val="19"/>
                <w:szCs w:val="19"/>
                <w:u w:color="000000"/>
                <w:bdr w:val="nil"/>
              </w:rPr>
              <w:t>.</w:t>
            </w:r>
          </w:p>
        </w:tc>
        <w:tc>
          <w:tcPr>
            <w:tcW w:w="798" w:type="pct"/>
            <w:shd w:val="clear" w:color="auto" w:fill="DEEAF6" w:themeFill="accent1" w:themeFillTint="33"/>
            <w:vAlign w:val="center"/>
          </w:tcPr>
          <w:p w14:paraId="24D52B24"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Kritérium</w:t>
            </w:r>
          </w:p>
        </w:tc>
        <w:tc>
          <w:tcPr>
            <w:tcW w:w="1606" w:type="pct"/>
            <w:shd w:val="clear" w:color="auto" w:fill="DEEAF6" w:themeFill="accent1" w:themeFillTint="33"/>
            <w:vAlign w:val="center"/>
          </w:tcPr>
          <w:p w14:paraId="20E4DD18"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Predmet hodnotenia</w:t>
            </w:r>
          </w:p>
        </w:tc>
        <w:tc>
          <w:tcPr>
            <w:tcW w:w="411" w:type="pct"/>
            <w:shd w:val="clear" w:color="auto" w:fill="DEEAF6" w:themeFill="accent1" w:themeFillTint="33"/>
            <w:vAlign w:val="center"/>
          </w:tcPr>
          <w:p w14:paraId="0702B378"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Typ kritéria</w:t>
            </w:r>
          </w:p>
        </w:tc>
        <w:tc>
          <w:tcPr>
            <w:tcW w:w="451" w:type="pct"/>
            <w:shd w:val="clear" w:color="auto" w:fill="DEEAF6" w:themeFill="accent1" w:themeFillTint="33"/>
            <w:vAlign w:val="center"/>
          </w:tcPr>
          <w:p w14:paraId="0DABBC97" w14:textId="77777777" w:rsidR="00EA182D" w:rsidRPr="004F3B43" w:rsidRDefault="00EA182D" w:rsidP="000601C7">
            <w:pPr>
              <w:widowControl w:val="0"/>
              <w:pBdr>
                <w:top w:val="nil"/>
                <w:left w:val="nil"/>
                <w:bottom w:val="nil"/>
                <w:right w:val="nil"/>
                <w:between w:val="nil"/>
                <w:bar w:val="nil"/>
              </w:pBdr>
              <w:spacing w:line="288" w:lineRule="auto"/>
              <w:ind w:left="34" w:hanging="34"/>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Hodnotenie</w:t>
            </w:r>
          </w:p>
        </w:tc>
        <w:tc>
          <w:tcPr>
            <w:tcW w:w="1543" w:type="pct"/>
            <w:shd w:val="clear" w:color="auto" w:fill="DEEAF6" w:themeFill="accent1" w:themeFillTint="33"/>
            <w:vAlign w:val="center"/>
          </w:tcPr>
          <w:p w14:paraId="106EB6F6"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Spôsob aplikácie hodnotiaceho kritéria</w:t>
            </w:r>
          </w:p>
        </w:tc>
      </w:tr>
      <w:tr w:rsidR="00EA182D" w:rsidRPr="004F3B43" w14:paraId="6A212BF8" w14:textId="77777777" w:rsidTr="000601C7">
        <w:trPr>
          <w:trHeight w:val="2143"/>
        </w:trPr>
        <w:tc>
          <w:tcPr>
            <w:tcW w:w="191" w:type="pct"/>
            <w:vMerge w:val="restart"/>
            <w:vAlign w:val="center"/>
          </w:tcPr>
          <w:p w14:paraId="488B1B98"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2.1</w:t>
            </w:r>
          </w:p>
        </w:tc>
        <w:tc>
          <w:tcPr>
            <w:tcW w:w="798" w:type="pct"/>
            <w:vMerge w:val="restart"/>
            <w:vAlign w:val="center"/>
          </w:tcPr>
          <w:p w14:paraId="1BAE6280" w14:textId="77777777" w:rsidR="00EA182D" w:rsidRPr="004F3B43" w:rsidRDefault="00EA182D" w:rsidP="000601C7">
            <w:pPr>
              <w:spacing w:line="288" w:lineRule="auto"/>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Vhodnosť a prepojenosť navrhovaných aktivít projektu (vrátane podaktivít) vo vzťahu k východiskovej situácii a k plánovaným cieľom a výsledkom projektu</w:t>
            </w:r>
          </w:p>
        </w:tc>
        <w:tc>
          <w:tcPr>
            <w:tcW w:w="1606" w:type="pct"/>
            <w:vMerge w:val="restart"/>
            <w:vAlign w:val="center"/>
          </w:tcPr>
          <w:p w14:paraId="0C058F89" w14:textId="77777777" w:rsidR="00EA182D" w:rsidRPr="004F3B43" w:rsidRDefault="00EA182D" w:rsidP="000601C7">
            <w:pPr>
              <w:spacing w:line="288" w:lineRule="auto"/>
              <w:jc w:val="both"/>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cieľov/výsledkov projektu. </w:t>
            </w:r>
          </w:p>
          <w:p w14:paraId="4C6035BD" w14:textId="77777777" w:rsidR="00EA182D" w:rsidRPr="004F3B43" w:rsidRDefault="00EA182D" w:rsidP="000601C7">
            <w:pPr>
              <w:spacing w:line="288" w:lineRule="auto"/>
              <w:jc w:val="both"/>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Posudzuje sa, či hlavné aktivity (vrátane podaktivít) a ciele na seba logicky a časovo nadväzujú a  sú previazané a či sú navrhované aktivity (vrátane podaktivít) svojím rozsahom adekvátne nastavené voči cieľom/výsledkom, vyjadreným v hodnotách merateľných ukazovateľov.</w:t>
            </w:r>
          </w:p>
          <w:p w14:paraId="21FA6BA1" w14:textId="77777777" w:rsidR="00EA182D" w:rsidRPr="004F3B43" w:rsidRDefault="00EA182D" w:rsidP="000601C7">
            <w:pPr>
              <w:spacing w:line="288" w:lineRule="auto"/>
              <w:jc w:val="both"/>
              <w:rPr>
                <w:rFonts w:ascii="Arial" w:eastAsia="Calibri" w:hAnsi="Arial" w:cs="Arial"/>
                <w:color w:val="000000" w:themeColor="text1"/>
                <w:sz w:val="19"/>
                <w:szCs w:val="19"/>
              </w:rPr>
            </w:pPr>
          </w:p>
        </w:tc>
        <w:tc>
          <w:tcPr>
            <w:tcW w:w="411" w:type="pct"/>
            <w:vMerge w:val="restart"/>
            <w:vAlign w:val="center"/>
          </w:tcPr>
          <w:p w14:paraId="1EFFBC68"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Vylučujúce kritérium</w:t>
            </w:r>
          </w:p>
        </w:tc>
        <w:tc>
          <w:tcPr>
            <w:tcW w:w="451" w:type="pct"/>
            <w:vAlign w:val="center"/>
          </w:tcPr>
          <w:p w14:paraId="53EBAF1B"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áno</w:t>
            </w:r>
          </w:p>
        </w:tc>
        <w:tc>
          <w:tcPr>
            <w:tcW w:w="1543" w:type="pct"/>
            <w:vAlign w:val="center"/>
          </w:tcPr>
          <w:p w14:paraId="13A98A09"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ciele/výsledky</w:t>
            </w:r>
            <w:r>
              <w:rPr>
                <w:rFonts w:ascii="Arial" w:eastAsia="Helvetica" w:hAnsi="Arial" w:cs="Arial"/>
                <w:color w:val="000000" w:themeColor="text1"/>
                <w:sz w:val="19"/>
                <w:szCs w:val="19"/>
              </w:rPr>
              <w:t xml:space="preserve"> </w:t>
            </w:r>
            <w:r w:rsidRPr="004F3B43">
              <w:rPr>
                <w:rFonts w:ascii="Arial" w:eastAsia="Helvetica" w:hAnsi="Arial" w:cs="Arial"/>
                <w:color w:val="000000" w:themeColor="text1"/>
                <w:sz w:val="19"/>
                <w:szCs w:val="19"/>
              </w:rPr>
              <w:t>projektu. M</w:t>
            </w:r>
            <w:r w:rsidRPr="004F3B43">
              <w:rPr>
                <w:rFonts w:ascii="Arial" w:hAnsi="Arial" w:cs="Arial"/>
                <w:color w:val="000000" w:themeColor="text1"/>
                <w:sz w:val="19"/>
                <w:szCs w:val="19"/>
              </w:rPr>
              <w:t>erateľné ukazovatele v plnej miere zachytávajú výsledky aktivít projektu a podstatu cieľa projektu a hodnoty merateľných ukazovateľov sú vecne dosiahnuteľné realizáciou navrhovaných aktivít.</w:t>
            </w:r>
          </w:p>
        </w:tc>
      </w:tr>
      <w:tr w:rsidR="00EA182D" w:rsidRPr="004F3B43" w14:paraId="6951F5EB" w14:textId="77777777" w:rsidTr="000601C7">
        <w:trPr>
          <w:trHeight w:val="1038"/>
        </w:trPr>
        <w:tc>
          <w:tcPr>
            <w:tcW w:w="191" w:type="pct"/>
            <w:vMerge/>
            <w:vAlign w:val="center"/>
          </w:tcPr>
          <w:p w14:paraId="15A0CBD9"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798" w:type="pct"/>
            <w:vMerge/>
            <w:vAlign w:val="center"/>
          </w:tcPr>
          <w:p w14:paraId="54B8F5E2" w14:textId="77777777" w:rsidR="00EA182D" w:rsidRPr="004F3B43" w:rsidRDefault="00EA182D" w:rsidP="000601C7">
            <w:pPr>
              <w:spacing w:line="288" w:lineRule="auto"/>
              <w:rPr>
                <w:rFonts w:ascii="Arial" w:eastAsia="Calibri" w:hAnsi="Arial" w:cs="Arial"/>
                <w:color w:val="000000" w:themeColor="text1"/>
                <w:sz w:val="19"/>
                <w:szCs w:val="19"/>
              </w:rPr>
            </w:pPr>
          </w:p>
        </w:tc>
        <w:tc>
          <w:tcPr>
            <w:tcW w:w="1606" w:type="pct"/>
            <w:vMerge/>
            <w:vAlign w:val="center"/>
          </w:tcPr>
          <w:p w14:paraId="56BDC5D4" w14:textId="77777777" w:rsidR="00EA182D" w:rsidRPr="004F3B43" w:rsidRDefault="00EA182D" w:rsidP="000601C7">
            <w:pPr>
              <w:spacing w:line="288" w:lineRule="auto"/>
              <w:rPr>
                <w:rFonts w:ascii="Arial" w:eastAsia="Calibri" w:hAnsi="Arial" w:cs="Arial"/>
                <w:color w:val="000000" w:themeColor="text1"/>
                <w:sz w:val="19"/>
                <w:szCs w:val="19"/>
              </w:rPr>
            </w:pPr>
          </w:p>
        </w:tc>
        <w:tc>
          <w:tcPr>
            <w:tcW w:w="411" w:type="pct"/>
            <w:vMerge/>
            <w:vAlign w:val="center"/>
          </w:tcPr>
          <w:p w14:paraId="495B30FA"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451" w:type="pct"/>
            <w:vAlign w:val="center"/>
          </w:tcPr>
          <w:p w14:paraId="4A72D44A"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nie</w:t>
            </w:r>
          </w:p>
        </w:tc>
        <w:tc>
          <w:tcPr>
            <w:tcW w:w="1543" w:type="pct"/>
            <w:vAlign w:val="center"/>
          </w:tcPr>
          <w:p w14:paraId="3247032F"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Minimálne jeden z merateľných ukazovateľov vykazuje závažné nedostatky, nezachytáva v plnej miere výsledky aktivít projektu a podstatu cieľa projektu, hodnota merateľného ukazovateľa nie je dosiahnuteľná realizáciou navrhovaných aktivít. Nedostatky sú závažného charakteru, ohrozujú jeho úspešnú realizáciu.</w:t>
            </w:r>
          </w:p>
        </w:tc>
      </w:tr>
    </w:tbl>
    <w:p w14:paraId="08541C08" w14:textId="77777777" w:rsidR="00EA182D" w:rsidRPr="004F3B43"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najmä informácie uvedené v častiach ŽoNFP: 7. Popis projektu, 10.1 Aktivity projektu a očakávané merateľné ukazovatele, 10.2. Prehľad merateľných ukazovateľov projektu.</w:t>
      </w:r>
    </w:p>
    <w:p w14:paraId="1DC4025A" w14:textId="77777777" w:rsidR="00EA182D" w:rsidRPr="004F3B43" w:rsidRDefault="00EA182D" w:rsidP="00EA182D">
      <w:pPr>
        <w:spacing w:after="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najmä plnenie nasledovných oblastí:</w:t>
      </w:r>
    </w:p>
    <w:p w14:paraId="039AE6F4" w14:textId="77777777" w:rsidR="00EA182D" w:rsidRPr="004F3B43" w:rsidRDefault="00EA182D" w:rsidP="00EA182D">
      <w:pPr>
        <w:pStyle w:val="Odsekzoznamu"/>
        <w:numPr>
          <w:ilvl w:val="0"/>
          <w:numId w:val="5"/>
        </w:numPr>
        <w:spacing w:after="0" w:line="288" w:lineRule="auto"/>
        <w:contextualSpacing w:val="0"/>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navrhované aktivity projektu sú dostatočne odôvodnené a vychádzajú z definovaných potrieb žiadateľa,</w:t>
      </w:r>
    </w:p>
    <w:p w14:paraId="689AD137"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všetky aktivity smerujú k napĺňaniu cieľov projektu,</w:t>
      </w:r>
    </w:p>
    <w:p w14:paraId="16591C20"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7398B5BD" w14:textId="77777777" w:rsidR="00EA182D" w:rsidRPr="004F3B43" w:rsidRDefault="00EA182D" w:rsidP="00EA182D">
      <w:pPr>
        <w:pStyle w:val="Odsekzoznamu"/>
        <w:numPr>
          <w:ilvl w:val="0"/>
          <w:numId w:val="5"/>
        </w:numPr>
        <w:spacing w:after="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merateľné ukazovatele v plnej miere zachytávajú výsledky aktivít projektu a podstatu cieľa projektu,</w:t>
      </w:r>
    </w:p>
    <w:p w14:paraId="448103C1"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hodnoty merateľných ukazovateľov sú vecne dosiahnuteľné realizáciou navrhovaných aktivít.</w:t>
      </w:r>
    </w:p>
    <w:p w14:paraId="2479D2C4" w14:textId="77777777" w:rsidR="00EA182D" w:rsidRPr="004F3B43" w:rsidRDefault="00EA182D" w:rsidP="00EA182D">
      <w:pPr>
        <w:tabs>
          <w:tab w:val="left" w:pos="1680"/>
        </w:tabs>
        <w:spacing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 xml:space="preserve">Hodnotiteľ zvolí výsledné hodnotenie (áno) v prípade, že všetky </w:t>
      </w:r>
      <w:r w:rsidRPr="004F3B43">
        <w:rPr>
          <w:rFonts w:ascii="Arial" w:eastAsia="Helvetica" w:hAnsi="Arial" w:cs="Arial"/>
          <w:color w:val="000000" w:themeColor="text1"/>
          <w:sz w:val="19"/>
          <w:szCs w:val="19"/>
        </w:rPr>
        <w:t>hlavné aktivity projektu sú odôvodnené z pohľadu východiskovej situácie, sú zrozumiteľne definované a ich realizáciou sa dosiahnu plánované ciele/výsledky projektu</w:t>
      </w:r>
      <w:r w:rsidRPr="004F3B43">
        <w:rPr>
          <w:rFonts w:ascii="Arial" w:hAnsi="Arial" w:cs="Arial"/>
          <w:color w:val="000000" w:themeColor="text1"/>
          <w:sz w:val="19"/>
          <w:szCs w:val="19"/>
        </w:rPr>
        <w:t xml:space="preserve">. </w:t>
      </w:r>
    </w:p>
    <w:p w14:paraId="70975FE6" w14:textId="77777777" w:rsidR="00EA182D" w:rsidRPr="004F3B43" w:rsidRDefault="00EA182D" w:rsidP="00EA182D">
      <w:pPr>
        <w:tabs>
          <w:tab w:val="left" w:pos="1680"/>
        </w:tabs>
        <w:spacing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 xml:space="preserve">V prípade, ak hodnotiteľ vyhodnotí, že minimálne jedna z hlavných aktivít </w:t>
      </w:r>
      <w:r w:rsidRPr="004F3B43">
        <w:rPr>
          <w:rFonts w:ascii="Arial" w:eastAsia="Helvetica" w:hAnsi="Arial" w:cs="Arial"/>
          <w:color w:val="000000" w:themeColor="text1"/>
          <w:sz w:val="19"/>
          <w:szCs w:val="19"/>
        </w:rPr>
        <w:t xml:space="preserve">projektu nie je odôvodnená z pohľadu východiskovej situácie a potrieb žiadateľa, nie je potrebná/neprispieva k dosahovaniu plánovaných cieľov projektu, resp. projekt neobsahuje aktivity, ktoré sú nevyhnutné pre jeho realizáciu, minimálne jeden z merateľných ukazovateľov vykazuje závažné </w:t>
      </w:r>
      <w:r w:rsidRPr="004F3B43">
        <w:rPr>
          <w:rFonts w:ascii="Arial" w:eastAsia="Helvetica" w:hAnsi="Arial" w:cs="Arial"/>
          <w:color w:val="000000" w:themeColor="text1"/>
          <w:sz w:val="19"/>
          <w:szCs w:val="19"/>
        </w:rPr>
        <w:lastRenderedPageBreak/>
        <w:t>nedostatky, nezachytáva v plnej miere výsledky aktivít projektu a podstatu cieľa projektu a hodnota minimálne jedného merateľného ukazovateľa nie je dosiahnuteľná realizáciou navrhovaných aktivít, t.j.</w:t>
      </w:r>
      <w:r>
        <w:rPr>
          <w:rFonts w:ascii="Arial" w:eastAsia="Helvetica" w:hAnsi="Arial" w:cs="Arial"/>
          <w:color w:val="000000" w:themeColor="text1"/>
          <w:sz w:val="19"/>
          <w:szCs w:val="19"/>
        </w:rPr>
        <w:t xml:space="preserve"> nedostatky sú </w:t>
      </w:r>
      <w:r w:rsidRPr="004F3B43">
        <w:rPr>
          <w:rFonts w:ascii="Arial" w:eastAsia="Helvetica" w:hAnsi="Arial" w:cs="Arial"/>
          <w:color w:val="000000" w:themeColor="text1"/>
          <w:sz w:val="19"/>
          <w:szCs w:val="19"/>
        </w:rPr>
        <w:t>závažného charakteru, ohrozujú jeho úspešnú realizáciu</w:t>
      </w:r>
      <w:r w:rsidRPr="004F3B43">
        <w:rPr>
          <w:rFonts w:ascii="Arial" w:hAnsi="Arial" w:cs="Arial"/>
          <w:color w:val="000000" w:themeColor="text1"/>
          <w:sz w:val="19"/>
          <w:szCs w:val="19"/>
        </w:rPr>
        <w:t xml:space="preserve">, zvolí výsledné hodnotenie (nie).  </w:t>
      </w:r>
    </w:p>
    <w:p w14:paraId="7A46EB52" w14:textId="77777777" w:rsidR="00EA182D" w:rsidRPr="004F3B43" w:rsidRDefault="00EA182D" w:rsidP="00EA182D">
      <w:pPr>
        <w:tabs>
          <w:tab w:val="left" w:pos="1680"/>
        </w:tabs>
        <w:spacing w:line="288" w:lineRule="auto"/>
        <w:jc w:val="both"/>
        <w:rPr>
          <w:rFonts w:ascii="Arial" w:hAnsi="Arial" w:cs="Arial"/>
          <w:sz w:val="19"/>
          <w:szCs w:val="19"/>
        </w:rPr>
      </w:pPr>
      <w:r w:rsidRPr="004F3B43">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vylučujúceho kritéria, a to v prípade kladného ako aj negatívneho hodnotenia. </w:t>
      </w:r>
      <w:r w:rsidRPr="004F3B43">
        <w:rPr>
          <w:rFonts w:ascii="Arial" w:eastAsia="Helvetica" w:hAnsi="Arial" w:cs="Arial"/>
          <w:color w:val="000000" w:themeColor="text1"/>
          <w:sz w:val="19"/>
          <w:szCs w:val="19"/>
        </w:rPr>
        <w:tab/>
      </w:r>
      <w:r w:rsidRPr="004F3B43">
        <w:rPr>
          <w:rFonts w:ascii="Arial" w:hAnsi="Arial" w:cs="Arial"/>
          <w:sz w:val="19"/>
          <w:szCs w:val="19"/>
        </w:rPr>
        <w:tab/>
      </w:r>
    </w:p>
    <w:p w14:paraId="0DBE90DE" w14:textId="77777777" w:rsidR="00EA182D" w:rsidRPr="004F3B43" w:rsidRDefault="00EA182D" w:rsidP="00EA182D">
      <w:pPr>
        <w:pStyle w:val="predvolen0"/>
        <w:tabs>
          <w:tab w:val="left" w:pos="1991"/>
        </w:tabs>
        <w:spacing w:before="60" w:beforeAutospacing="0" w:after="0" w:afterAutospacing="0" w:line="288" w:lineRule="auto"/>
        <w:jc w:val="both"/>
        <w:rPr>
          <w:rFonts w:ascii="Arial" w:hAnsi="Arial" w:cs="Arial"/>
          <w:sz w:val="19"/>
          <w:szCs w:val="19"/>
        </w:rPr>
      </w:pPr>
    </w:p>
    <w:tbl>
      <w:tblPr>
        <w:tblStyle w:val="TableGrid8"/>
        <w:tblW w:w="5000" w:type="pct"/>
        <w:tblLayout w:type="fixed"/>
        <w:tblLook w:val="04A0" w:firstRow="1" w:lastRow="0" w:firstColumn="1" w:lastColumn="0" w:noHBand="0" w:noVBand="1"/>
      </w:tblPr>
      <w:tblGrid>
        <w:gridCol w:w="572"/>
        <w:gridCol w:w="14816"/>
      </w:tblGrid>
      <w:tr w:rsidR="00EA182D" w:rsidRPr="004F3B43" w14:paraId="0890812A" w14:textId="77777777" w:rsidTr="000601C7">
        <w:trPr>
          <w:trHeight w:val="397"/>
        </w:trPr>
        <w:tc>
          <w:tcPr>
            <w:tcW w:w="186" w:type="pct"/>
            <w:shd w:val="clear" w:color="auto" w:fill="9CC2E5" w:themeFill="accent1" w:themeFillTint="99"/>
            <w:vAlign w:val="center"/>
          </w:tcPr>
          <w:p w14:paraId="62C853A9"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3.</w:t>
            </w:r>
          </w:p>
        </w:tc>
        <w:tc>
          <w:tcPr>
            <w:tcW w:w="4814" w:type="pct"/>
            <w:shd w:val="clear" w:color="auto" w:fill="9CC2E5" w:themeFill="accent1" w:themeFillTint="99"/>
            <w:vAlign w:val="center"/>
          </w:tcPr>
          <w:p w14:paraId="3A3E7162"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Administratívna a prevádzková kapacita žiadateľa</w:t>
            </w:r>
          </w:p>
        </w:tc>
      </w:tr>
    </w:tbl>
    <w:p w14:paraId="2AB7E374" w14:textId="77777777" w:rsidR="00EA182D" w:rsidRPr="004F3B43" w:rsidRDefault="00EA182D" w:rsidP="00EA182D">
      <w:pPr>
        <w:spacing w:after="0"/>
      </w:pPr>
    </w:p>
    <w:tbl>
      <w:tblPr>
        <w:tblStyle w:val="TableGrid8"/>
        <w:tblW w:w="4992" w:type="pct"/>
        <w:tblLayout w:type="fixed"/>
        <w:tblLook w:val="04A0" w:firstRow="1" w:lastRow="0" w:firstColumn="1" w:lastColumn="0" w:noHBand="0" w:noVBand="1"/>
      </w:tblPr>
      <w:tblGrid>
        <w:gridCol w:w="591"/>
        <w:gridCol w:w="2468"/>
        <w:gridCol w:w="4911"/>
        <w:gridCol w:w="1303"/>
        <w:gridCol w:w="1303"/>
        <w:gridCol w:w="4787"/>
      </w:tblGrid>
      <w:tr w:rsidR="00EA182D" w:rsidRPr="004F3B43" w14:paraId="4522CAE8" w14:textId="77777777" w:rsidTr="000601C7">
        <w:trPr>
          <w:trHeight w:val="397"/>
        </w:trPr>
        <w:tc>
          <w:tcPr>
            <w:tcW w:w="192" w:type="pct"/>
            <w:shd w:val="clear" w:color="auto" w:fill="DEEAF6" w:themeFill="accent1" w:themeFillTint="33"/>
            <w:vAlign w:val="center"/>
          </w:tcPr>
          <w:p w14:paraId="6B9D9FA5"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proofErr w:type="spellStart"/>
            <w:r w:rsidRPr="004F3B43">
              <w:rPr>
                <w:rFonts w:ascii="Arial" w:eastAsia="Calibri" w:hAnsi="Arial" w:cs="Arial"/>
                <w:b/>
                <w:bCs/>
                <w:color w:val="000000" w:themeColor="text1"/>
                <w:sz w:val="19"/>
                <w:szCs w:val="19"/>
                <w:u w:color="000000"/>
                <w:bdr w:val="nil"/>
              </w:rPr>
              <w:t>P.č</w:t>
            </w:r>
            <w:proofErr w:type="spellEnd"/>
            <w:r w:rsidRPr="004F3B43">
              <w:rPr>
                <w:rFonts w:ascii="Arial" w:eastAsia="Calibri" w:hAnsi="Arial" w:cs="Arial"/>
                <w:b/>
                <w:bCs/>
                <w:color w:val="000000" w:themeColor="text1"/>
                <w:sz w:val="19"/>
                <w:szCs w:val="19"/>
                <w:u w:color="000000"/>
                <w:bdr w:val="nil"/>
              </w:rPr>
              <w:t>.</w:t>
            </w:r>
          </w:p>
        </w:tc>
        <w:tc>
          <w:tcPr>
            <w:tcW w:w="803" w:type="pct"/>
            <w:shd w:val="clear" w:color="auto" w:fill="DEEAF6" w:themeFill="accent1" w:themeFillTint="33"/>
            <w:vAlign w:val="center"/>
          </w:tcPr>
          <w:p w14:paraId="19027A39"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Kritérium</w:t>
            </w:r>
          </w:p>
        </w:tc>
        <w:tc>
          <w:tcPr>
            <w:tcW w:w="1598" w:type="pct"/>
            <w:shd w:val="clear" w:color="auto" w:fill="DEEAF6" w:themeFill="accent1" w:themeFillTint="33"/>
            <w:vAlign w:val="center"/>
          </w:tcPr>
          <w:p w14:paraId="0F17AB29"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Predmet hodnotenia</w:t>
            </w:r>
          </w:p>
        </w:tc>
        <w:tc>
          <w:tcPr>
            <w:tcW w:w="424" w:type="pct"/>
            <w:shd w:val="clear" w:color="auto" w:fill="DEEAF6" w:themeFill="accent1" w:themeFillTint="33"/>
            <w:vAlign w:val="center"/>
          </w:tcPr>
          <w:p w14:paraId="1A0DFE31" w14:textId="77777777" w:rsidR="00EA182D" w:rsidRPr="004F3B43" w:rsidRDefault="00EA182D" w:rsidP="000601C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Typ kritéria</w:t>
            </w:r>
          </w:p>
        </w:tc>
        <w:tc>
          <w:tcPr>
            <w:tcW w:w="424" w:type="pct"/>
            <w:shd w:val="clear" w:color="auto" w:fill="DEEAF6" w:themeFill="accent1" w:themeFillTint="33"/>
            <w:vAlign w:val="center"/>
          </w:tcPr>
          <w:p w14:paraId="25DD5D6B" w14:textId="77777777" w:rsidR="00EA182D" w:rsidRPr="004F3B43" w:rsidRDefault="00EA182D" w:rsidP="000601C7">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Hodnotenie</w:t>
            </w:r>
          </w:p>
        </w:tc>
        <w:tc>
          <w:tcPr>
            <w:tcW w:w="1558" w:type="pct"/>
            <w:shd w:val="clear" w:color="auto" w:fill="DEEAF6" w:themeFill="accent1" w:themeFillTint="33"/>
            <w:vAlign w:val="center"/>
          </w:tcPr>
          <w:p w14:paraId="38558D84"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Spôsob aplikácie hodnotiaceho kritéria</w:t>
            </w:r>
          </w:p>
        </w:tc>
      </w:tr>
      <w:tr w:rsidR="00EA182D" w:rsidRPr="004F3B43" w14:paraId="4BF7B150" w14:textId="77777777" w:rsidTr="000601C7">
        <w:trPr>
          <w:trHeight w:val="510"/>
        </w:trPr>
        <w:tc>
          <w:tcPr>
            <w:tcW w:w="192" w:type="pct"/>
            <w:vMerge w:val="restart"/>
            <w:vAlign w:val="center"/>
          </w:tcPr>
          <w:p w14:paraId="62CF0AD5"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3.1</w:t>
            </w:r>
          </w:p>
        </w:tc>
        <w:tc>
          <w:tcPr>
            <w:tcW w:w="803" w:type="pct"/>
            <w:vMerge w:val="restart"/>
            <w:vAlign w:val="center"/>
          </w:tcPr>
          <w:p w14:paraId="3BDF8471" w14:textId="77777777" w:rsidR="00EA182D" w:rsidRPr="004F3B43" w:rsidRDefault="00EA182D" w:rsidP="000601C7">
            <w:pPr>
              <w:spacing w:line="288" w:lineRule="auto"/>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Posúdenie administratívnych a odborných kapacít na riadenie a realizáciu projektu</w:t>
            </w:r>
          </w:p>
        </w:tc>
        <w:tc>
          <w:tcPr>
            <w:tcW w:w="1598" w:type="pct"/>
            <w:vMerge w:val="restart"/>
            <w:vAlign w:val="center"/>
          </w:tcPr>
          <w:p w14:paraId="08E8AE95" w14:textId="77777777" w:rsidR="00EA182D" w:rsidRPr="004F3B43" w:rsidRDefault="00EA182D" w:rsidP="000601C7">
            <w:pPr>
              <w:spacing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Posudzuje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617E4133" w14:textId="77777777" w:rsidR="00EA182D" w:rsidRPr="004F3B43" w:rsidRDefault="00EA182D" w:rsidP="000601C7">
            <w:pPr>
              <w:spacing w:line="288" w:lineRule="auto"/>
              <w:rPr>
                <w:rFonts w:ascii="Arial" w:eastAsia="Calibri" w:hAnsi="Arial" w:cs="Arial"/>
                <w:color w:val="000000" w:themeColor="text1"/>
                <w:sz w:val="19"/>
                <w:szCs w:val="19"/>
              </w:rPr>
            </w:pPr>
            <w:r w:rsidRPr="004F3B43">
              <w:rPr>
                <w:rFonts w:ascii="Arial" w:hAnsi="Arial" w:cs="Arial"/>
                <w:color w:val="000000" w:themeColor="text1"/>
                <w:sz w:val="19"/>
                <w:szCs w:val="19"/>
              </w:rPr>
              <w:t>Administratívne a odborné kapacity môžu byť zabezpečené buď z interných alebo externých zdrojov.</w:t>
            </w:r>
          </w:p>
        </w:tc>
        <w:tc>
          <w:tcPr>
            <w:tcW w:w="424" w:type="pct"/>
            <w:vMerge w:val="restart"/>
            <w:vAlign w:val="center"/>
          </w:tcPr>
          <w:p w14:paraId="43982EC6"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40473553"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06D5915D"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4A3658F4"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21FF5D03"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5CA003CB"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p>
          <w:p w14:paraId="01BE7C6F" w14:textId="77777777" w:rsidR="00EA182D" w:rsidRPr="004F3B43" w:rsidRDefault="00EA182D" w:rsidP="000601C7">
            <w:pPr>
              <w:widowControl w:val="0"/>
              <w:spacing w:before="60" w:after="60" w:line="264" w:lineRule="auto"/>
              <w:ind w:left="-114" w:right="-111"/>
              <w:jc w:val="center"/>
              <w:rPr>
                <w:rFonts w:ascii="Arial" w:eastAsia="Helvetica" w:hAnsi="Arial" w:cs="Arial"/>
                <w:color w:val="000000" w:themeColor="text1"/>
                <w:sz w:val="19"/>
                <w:szCs w:val="19"/>
                <w:u w:color="000000"/>
              </w:rPr>
            </w:pPr>
            <w:r w:rsidRPr="004F3B43">
              <w:rPr>
                <w:rFonts w:ascii="Arial" w:eastAsia="Helvetica" w:hAnsi="Arial" w:cs="Arial"/>
                <w:color w:val="000000" w:themeColor="text1"/>
                <w:sz w:val="19"/>
                <w:szCs w:val="19"/>
                <w:u w:color="000000"/>
              </w:rPr>
              <w:t>Vylučujúce kritérium</w:t>
            </w:r>
          </w:p>
          <w:p w14:paraId="03B86134"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424" w:type="pct"/>
            <w:vAlign w:val="center"/>
          </w:tcPr>
          <w:p w14:paraId="5375C82E"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áno</w:t>
            </w:r>
          </w:p>
        </w:tc>
        <w:tc>
          <w:tcPr>
            <w:tcW w:w="1558" w:type="pct"/>
            <w:vAlign w:val="center"/>
          </w:tcPr>
          <w:p w14:paraId="688D77B2"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1635E745"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Žiadateľ má zabezpečené, resp. deklaruje zabezpečenie riadenia projektu:</w:t>
            </w:r>
          </w:p>
          <w:p w14:paraId="2CF6025B" w14:textId="77777777" w:rsidR="00EA182D" w:rsidRPr="004F3B43" w:rsidRDefault="00EA182D" w:rsidP="00EA182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4F3B43">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4C5310D" w14:textId="77777777" w:rsidR="00EA182D" w:rsidRPr="004F3B43" w:rsidRDefault="00EA182D" w:rsidP="00EA182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4F3B43">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EA182D" w:rsidRPr="004F3B43" w14:paraId="5550E586" w14:textId="77777777" w:rsidTr="000601C7">
        <w:trPr>
          <w:trHeight w:val="1275"/>
        </w:trPr>
        <w:tc>
          <w:tcPr>
            <w:tcW w:w="192" w:type="pct"/>
            <w:vMerge/>
            <w:vAlign w:val="center"/>
          </w:tcPr>
          <w:p w14:paraId="785A31FC" w14:textId="77777777" w:rsidR="00EA182D" w:rsidRPr="004F3B43" w:rsidRDefault="00EA182D" w:rsidP="000601C7">
            <w:pPr>
              <w:spacing w:line="288" w:lineRule="auto"/>
              <w:jc w:val="center"/>
              <w:rPr>
                <w:rFonts w:ascii="Arial" w:eastAsia="Calibri" w:hAnsi="Arial" w:cs="Arial"/>
                <w:color w:val="000000" w:themeColor="text1"/>
                <w:sz w:val="19"/>
                <w:szCs w:val="19"/>
              </w:rPr>
            </w:pPr>
          </w:p>
        </w:tc>
        <w:tc>
          <w:tcPr>
            <w:tcW w:w="803" w:type="pct"/>
            <w:vMerge/>
            <w:vAlign w:val="center"/>
          </w:tcPr>
          <w:p w14:paraId="373C8E47" w14:textId="77777777" w:rsidR="00EA182D" w:rsidRPr="004F3B43" w:rsidRDefault="00EA182D" w:rsidP="000601C7">
            <w:pPr>
              <w:spacing w:line="288" w:lineRule="auto"/>
              <w:rPr>
                <w:rFonts w:ascii="Arial" w:eastAsia="Calibri" w:hAnsi="Arial" w:cs="Arial"/>
                <w:color w:val="000000" w:themeColor="text1"/>
                <w:sz w:val="19"/>
                <w:szCs w:val="19"/>
              </w:rPr>
            </w:pPr>
          </w:p>
        </w:tc>
        <w:tc>
          <w:tcPr>
            <w:tcW w:w="1598" w:type="pct"/>
            <w:vMerge/>
            <w:vAlign w:val="center"/>
          </w:tcPr>
          <w:p w14:paraId="292B0BD7" w14:textId="77777777" w:rsidR="00EA182D" w:rsidRPr="004F3B43" w:rsidRDefault="00EA182D" w:rsidP="000601C7">
            <w:pPr>
              <w:spacing w:line="288" w:lineRule="auto"/>
              <w:rPr>
                <w:rFonts w:ascii="Arial" w:eastAsia="Calibri" w:hAnsi="Arial" w:cs="Arial"/>
                <w:color w:val="000000" w:themeColor="text1"/>
                <w:sz w:val="19"/>
                <w:szCs w:val="19"/>
              </w:rPr>
            </w:pPr>
          </w:p>
        </w:tc>
        <w:tc>
          <w:tcPr>
            <w:tcW w:w="424" w:type="pct"/>
            <w:vMerge/>
            <w:vAlign w:val="center"/>
          </w:tcPr>
          <w:p w14:paraId="73720CF8"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24" w:type="pct"/>
            <w:vAlign w:val="center"/>
          </w:tcPr>
          <w:p w14:paraId="79688C70" w14:textId="77777777" w:rsidR="00EA182D" w:rsidRPr="004F3B43" w:rsidRDefault="00EA182D" w:rsidP="000601C7">
            <w:pPr>
              <w:spacing w:line="288" w:lineRule="auto"/>
              <w:jc w:val="center"/>
              <w:rPr>
                <w:rFonts w:ascii="Arial" w:eastAsia="Calibri" w:hAnsi="Arial" w:cs="Arial"/>
                <w:color w:val="000000" w:themeColor="text1"/>
                <w:sz w:val="19"/>
                <w:szCs w:val="19"/>
              </w:rPr>
            </w:pPr>
            <w:r w:rsidRPr="004F3B43">
              <w:rPr>
                <w:rFonts w:ascii="Arial" w:eastAsia="Calibri" w:hAnsi="Arial" w:cs="Arial"/>
                <w:color w:val="000000" w:themeColor="text1"/>
                <w:sz w:val="19"/>
                <w:szCs w:val="19"/>
              </w:rPr>
              <w:t>nie</w:t>
            </w:r>
          </w:p>
        </w:tc>
        <w:tc>
          <w:tcPr>
            <w:tcW w:w="1558" w:type="pct"/>
            <w:vAlign w:val="center"/>
          </w:tcPr>
          <w:p w14:paraId="3AE098C1" w14:textId="77777777" w:rsidR="00EA182D" w:rsidRPr="004F3B43" w:rsidRDefault="00EA182D" w:rsidP="000601C7">
            <w:pPr>
              <w:spacing w:line="288" w:lineRule="auto"/>
              <w:jc w:val="both"/>
              <w:rPr>
                <w:rFonts w:ascii="Arial" w:eastAsia="Helvetica" w:hAnsi="Arial" w:cs="Arial"/>
                <w:color w:val="000000" w:themeColor="text1"/>
                <w:sz w:val="19"/>
                <w:szCs w:val="19"/>
              </w:rPr>
            </w:pPr>
            <w:r w:rsidRPr="004F3B43">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B82357A" w14:textId="77777777" w:rsidR="00EA182D" w:rsidRPr="004F3B43"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informácie uvedené v častiach ŽoNFP: 7.3 Situácia po realizácii projektu a udržateľnosť projektu, 7.4 Administratívna a prevádzková kapacita žiadateľa.</w:t>
      </w:r>
    </w:p>
    <w:p w14:paraId="6D4A3D18" w14:textId="77777777"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F3B43">
        <w:rPr>
          <w:rFonts w:ascii="Arial" w:eastAsiaTheme="minorHAnsi" w:hAnsi="Arial" w:cs="Arial"/>
          <w:color w:val="000000" w:themeColor="text1"/>
          <w:sz w:val="19"/>
          <w:szCs w:val="19"/>
          <w:bdr w:val="none" w:sz="0" w:space="0" w:color="auto"/>
          <w:lang w:val="sk-SK"/>
        </w:rPr>
        <w:t>Hodnotiteľ posudzuje najmä plnenie nasledovných oblastí:</w:t>
      </w:r>
    </w:p>
    <w:p w14:paraId="5416AF43" w14:textId="77777777" w:rsidR="00EA182D" w:rsidRPr="004F3B43" w:rsidRDefault="00EA182D" w:rsidP="00EA182D">
      <w:pPr>
        <w:pStyle w:val="Odsekzoznamu"/>
        <w:numPr>
          <w:ilvl w:val="0"/>
          <w:numId w:val="5"/>
        </w:numPr>
        <w:spacing w:after="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 xml:space="preserve">zabezpečenie administratívnych a odborných kapacít pre riadenie projektu: monitorovanie projektu, finančné riadenie projektu, publicita a informovanie, účtovanie, vedenie evidencie a archivácia, zabezpečenie súladu realizácie projektu so zmluvou o  NFP (posudzuje sa, či žiadateľ preukázal, že disponuje internými alebo externými kapacitami </w:t>
      </w:r>
      <w:r w:rsidRPr="004F3B43">
        <w:rPr>
          <w:rFonts w:ascii="Arial" w:hAnsi="Arial" w:cs="Arial"/>
          <w:color w:val="000000" w:themeColor="text1"/>
          <w:sz w:val="19"/>
          <w:szCs w:val="19"/>
          <w:lang w:val="sk-SK"/>
        </w:rPr>
        <w:lastRenderedPageBreak/>
        <w:t>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054E8CC3"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zabezpečenie administratívnych a odborných kapacít pre realizáciu projektu: posudzuje sa,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317ACC23" w14:textId="77777777"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Hodnotiteľ hodnotí najmä mieru zabezpečenia administratívnych a odborných kapacít pre riadenie projektu, a to najmä:</w:t>
      </w:r>
    </w:p>
    <w:p w14:paraId="4EF63680" w14:textId="77777777" w:rsidR="00EA182D" w:rsidRPr="004F3B43" w:rsidRDefault="00EA182D" w:rsidP="00EA182D">
      <w:pPr>
        <w:pStyle w:val="Odsekzoznamu"/>
        <w:numPr>
          <w:ilvl w:val="0"/>
          <w:numId w:val="5"/>
        </w:numPr>
        <w:spacing w:after="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komplexným definovaním jednotlivých pozícií riadiaceho tímu (napr. hlavný manažér, projektový manažér, finančný manažér, manažér pre verejné obstarávanie a pod.),</w:t>
      </w:r>
    </w:p>
    <w:p w14:paraId="5695B9E5"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konkrétnym obsadením jednotlivých pozícií projektového tímu (uvedenie konkrétnych osôb jednotlivých členov tímu, resp. uvedenie kvalifikačných požiadaviek na jednotlivé pozície),</w:t>
      </w:r>
    </w:p>
    <w:p w14:paraId="49096786" w14:textId="77777777" w:rsidR="00EA182D" w:rsidRPr="004F3B43" w:rsidRDefault="00EA182D" w:rsidP="00EA182D">
      <w:pPr>
        <w:pStyle w:val="Odsekzoznamu"/>
        <w:numPr>
          <w:ilvl w:val="0"/>
          <w:numId w:val="5"/>
        </w:numPr>
        <w:spacing w:before="120" w:after="120" w:line="288" w:lineRule="auto"/>
        <w:jc w:val="both"/>
        <w:rPr>
          <w:rFonts w:ascii="Arial" w:hAnsi="Arial" w:cs="Arial"/>
          <w:color w:val="000000" w:themeColor="text1"/>
          <w:sz w:val="19"/>
          <w:szCs w:val="19"/>
          <w:lang w:val="sk-SK"/>
        </w:rPr>
      </w:pPr>
      <w:r w:rsidRPr="004F3B43">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08D557A6" w14:textId="77777777"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4F3B43">
        <w:rPr>
          <w:rFonts w:ascii="Arial" w:eastAsiaTheme="minorHAnsi" w:hAnsi="Arial" w:cs="Arial"/>
          <w:color w:val="000000" w:themeColor="text1"/>
          <w:sz w:val="19"/>
          <w:szCs w:val="19"/>
          <w:bdr w:val="none" w:sz="0" w:space="0" w:color="auto"/>
          <w:lang w:val="sk-SK"/>
        </w:rPr>
        <w:t xml:space="preserve">Hodnotiteľ zvolí výsledné hodnotenie (áno/nie) v zmysle popisu aplikácie hodnotiaceho kritéria. </w:t>
      </w:r>
      <w:r w:rsidRPr="004F3B43">
        <w:rPr>
          <w:rFonts w:ascii="Arial" w:hAnsi="Arial" w:cs="Arial"/>
          <w:color w:val="000000" w:themeColor="text1"/>
          <w:sz w:val="19"/>
          <w:szCs w:val="19"/>
          <w:lang w:val="sk-SK"/>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vylučujúceho kritéria, a to v prípade kladného ako aj negatívneho hodnotenia.</w:t>
      </w:r>
    </w:p>
    <w:p w14:paraId="7B903838" w14:textId="77777777" w:rsidR="00EA182D" w:rsidRPr="004F3B43" w:rsidRDefault="00EA182D" w:rsidP="00EA182D">
      <w:pPr>
        <w:spacing w:before="120" w:after="120" w:line="288" w:lineRule="auto"/>
        <w:jc w:val="both"/>
        <w:rPr>
          <w:rFonts w:ascii="Arial"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72"/>
        <w:gridCol w:w="14816"/>
      </w:tblGrid>
      <w:tr w:rsidR="00EA182D" w:rsidRPr="004F3B43" w14:paraId="72F1DF0D" w14:textId="77777777" w:rsidTr="000601C7">
        <w:trPr>
          <w:trHeight w:val="397"/>
          <w:tblHeader/>
        </w:trPr>
        <w:tc>
          <w:tcPr>
            <w:tcW w:w="186" w:type="pct"/>
            <w:shd w:val="clear" w:color="auto" w:fill="9CC2E5" w:themeFill="accent1" w:themeFillTint="99"/>
            <w:vAlign w:val="center"/>
          </w:tcPr>
          <w:p w14:paraId="66C9B008" w14:textId="77777777" w:rsidR="00EA182D" w:rsidRPr="004F3B43" w:rsidRDefault="00EA182D" w:rsidP="000601C7">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4.</w:t>
            </w:r>
          </w:p>
        </w:tc>
        <w:tc>
          <w:tcPr>
            <w:tcW w:w="4814" w:type="pct"/>
            <w:shd w:val="clear" w:color="auto" w:fill="9CC2E5" w:themeFill="accent1" w:themeFillTint="99"/>
            <w:vAlign w:val="center"/>
          </w:tcPr>
          <w:p w14:paraId="62730E20" w14:textId="77777777" w:rsidR="00EA182D" w:rsidRPr="004F3B43" w:rsidRDefault="00EA182D" w:rsidP="000601C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4F3B43">
              <w:rPr>
                <w:rFonts w:ascii="Arial" w:eastAsia="Calibri" w:hAnsi="Arial" w:cs="Arial"/>
                <w:b/>
                <w:bCs/>
                <w:color w:val="000000" w:themeColor="text1"/>
                <w:sz w:val="19"/>
                <w:szCs w:val="19"/>
                <w:u w:color="000000"/>
                <w:bdr w:val="nil"/>
              </w:rPr>
              <w:t>Finančná a ekonomická stránka projektu</w:t>
            </w:r>
          </w:p>
        </w:tc>
      </w:tr>
    </w:tbl>
    <w:p w14:paraId="4406F879" w14:textId="77777777" w:rsidR="00EA182D" w:rsidRPr="004F3B43" w:rsidRDefault="00EA182D" w:rsidP="00EA182D">
      <w:pPr>
        <w:spacing w:after="0"/>
        <w:rPr>
          <w:sz w:val="8"/>
          <w:szCs w:val="8"/>
        </w:rPr>
      </w:pPr>
    </w:p>
    <w:p w14:paraId="5A771272" w14:textId="77777777" w:rsidR="00EA182D" w:rsidRPr="004F3B43" w:rsidRDefault="00EA182D" w:rsidP="00EA182D">
      <w:pPr>
        <w:spacing w:after="0"/>
        <w:rPr>
          <w:sz w:val="18"/>
          <w:szCs w:val="18"/>
        </w:rPr>
      </w:pPr>
    </w:p>
    <w:p w14:paraId="250B8D1C" w14:textId="77777777" w:rsidR="00EA182D" w:rsidRPr="004F3B43" w:rsidRDefault="00EA182D" w:rsidP="00EA182D">
      <w:pPr>
        <w:spacing w:after="0"/>
        <w:rPr>
          <w:sz w:val="8"/>
          <w:szCs w:val="8"/>
        </w:rPr>
      </w:pPr>
    </w:p>
    <w:tbl>
      <w:tblPr>
        <w:tblStyle w:val="TableGrid6"/>
        <w:tblW w:w="15021" w:type="dxa"/>
        <w:tblLayout w:type="fixed"/>
        <w:tblLook w:val="04A0" w:firstRow="1" w:lastRow="0" w:firstColumn="1" w:lastColumn="0" w:noHBand="0" w:noVBand="1"/>
      </w:tblPr>
      <w:tblGrid>
        <w:gridCol w:w="606"/>
        <w:gridCol w:w="2224"/>
        <w:gridCol w:w="4962"/>
        <w:gridCol w:w="1275"/>
        <w:gridCol w:w="1276"/>
        <w:gridCol w:w="4678"/>
      </w:tblGrid>
      <w:tr w:rsidR="00EA182D" w:rsidRPr="004F3B43" w14:paraId="2B062F83" w14:textId="77777777" w:rsidTr="000601C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314203" w14:textId="77777777" w:rsidR="00EA182D" w:rsidRPr="004F3B43" w:rsidRDefault="00EA182D" w:rsidP="000601C7">
            <w:pPr>
              <w:widowControl w:val="0"/>
              <w:spacing w:line="288" w:lineRule="auto"/>
              <w:rPr>
                <w:rFonts w:ascii="Arial" w:hAnsi="Arial" w:cs="Arial"/>
                <w:color w:val="000000" w:themeColor="text1"/>
                <w:sz w:val="19"/>
                <w:szCs w:val="19"/>
                <w:u w:color="000000"/>
              </w:rPr>
            </w:pPr>
            <w:proofErr w:type="spellStart"/>
            <w:r w:rsidRPr="004F3B43">
              <w:rPr>
                <w:rFonts w:ascii="Arial" w:hAnsi="Arial" w:cs="Arial"/>
                <w:b/>
                <w:bCs/>
                <w:color w:val="000000" w:themeColor="text1"/>
                <w:sz w:val="19"/>
                <w:szCs w:val="19"/>
                <w:u w:color="000000"/>
              </w:rPr>
              <w:t>P.č</w:t>
            </w:r>
            <w:proofErr w:type="spellEnd"/>
            <w:r w:rsidRPr="004F3B43">
              <w:rPr>
                <w:rFonts w:ascii="Arial" w:hAnsi="Arial" w:cs="Arial"/>
                <w:b/>
                <w:bCs/>
                <w:color w:val="000000" w:themeColor="text1"/>
                <w:sz w:val="19"/>
                <w:szCs w:val="19"/>
                <w:u w:color="000000"/>
              </w:rPr>
              <w:t>.</w:t>
            </w:r>
          </w:p>
        </w:tc>
        <w:tc>
          <w:tcPr>
            <w:tcW w:w="22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BE5AEF" w14:textId="77777777" w:rsidR="00EA182D" w:rsidRPr="004F3B43" w:rsidRDefault="00EA182D" w:rsidP="000601C7">
            <w:pPr>
              <w:widowControl w:val="0"/>
              <w:spacing w:line="288" w:lineRule="auto"/>
              <w:rPr>
                <w:rFonts w:ascii="Arial" w:hAnsi="Arial" w:cs="Arial"/>
                <w:color w:val="000000" w:themeColor="text1"/>
                <w:sz w:val="19"/>
                <w:szCs w:val="19"/>
                <w:u w:color="000000"/>
              </w:rPr>
            </w:pPr>
            <w:r w:rsidRPr="004F3B43">
              <w:rPr>
                <w:rFonts w:ascii="Arial" w:hAnsi="Arial" w:cs="Arial"/>
                <w:b/>
                <w:bCs/>
                <w:color w:val="000000" w:themeColor="text1"/>
                <w:sz w:val="19"/>
                <w:szCs w:val="19"/>
                <w:u w:color="000000"/>
              </w:rPr>
              <w:t>Kritérium</w:t>
            </w:r>
          </w:p>
        </w:tc>
        <w:tc>
          <w:tcPr>
            <w:tcW w:w="49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B3679A" w14:textId="77777777" w:rsidR="00EA182D" w:rsidRPr="004F3B43" w:rsidRDefault="00EA182D" w:rsidP="000601C7">
            <w:pPr>
              <w:widowControl w:val="0"/>
              <w:spacing w:line="288" w:lineRule="auto"/>
              <w:ind w:left="143" w:right="136" w:hanging="3"/>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9A648C" w14:textId="77777777" w:rsidR="00EA182D" w:rsidRPr="004F3B43" w:rsidRDefault="00EA182D" w:rsidP="000601C7">
            <w:pPr>
              <w:widowControl w:val="0"/>
              <w:spacing w:line="288" w:lineRule="auto"/>
              <w:ind w:left="33" w:hanging="33"/>
              <w:rPr>
                <w:rFonts w:ascii="Arial" w:hAnsi="Arial" w:cs="Arial"/>
                <w:color w:val="000000" w:themeColor="text1"/>
                <w:sz w:val="19"/>
                <w:szCs w:val="19"/>
                <w:u w:color="000000"/>
              </w:rPr>
            </w:pPr>
            <w:r w:rsidRPr="004F3B43">
              <w:rPr>
                <w:rFonts w:ascii="Arial" w:hAnsi="Arial" w:cs="Arial"/>
                <w:b/>
                <w:bCs/>
                <w:color w:val="000000" w:themeColor="text1"/>
                <w:sz w:val="19"/>
                <w:szCs w:val="19"/>
                <w:u w:color="000000"/>
              </w:rPr>
              <w:t>Typ kritéria</w:t>
            </w:r>
          </w:p>
        </w:tc>
        <w:tc>
          <w:tcPr>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103462" w14:textId="77777777" w:rsidR="00EA182D" w:rsidRPr="004F3B43" w:rsidRDefault="00EA182D" w:rsidP="000601C7">
            <w:pPr>
              <w:widowControl w:val="0"/>
              <w:spacing w:line="288" w:lineRule="auto"/>
              <w:ind w:left="34" w:right="-109"/>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Hodnotenie</w:t>
            </w:r>
          </w:p>
        </w:tc>
        <w:tc>
          <w:tcPr>
            <w:tcW w:w="467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B69886" w14:textId="77777777" w:rsidR="00EA182D" w:rsidRPr="004F3B43" w:rsidRDefault="00EA182D" w:rsidP="000601C7">
            <w:pPr>
              <w:widowControl w:val="0"/>
              <w:spacing w:line="288" w:lineRule="auto"/>
              <w:ind w:left="143" w:right="136" w:hanging="3"/>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Spôsob aplikácie hodnotiaceho kritéria</w:t>
            </w:r>
          </w:p>
        </w:tc>
      </w:tr>
      <w:tr w:rsidR="00EA182D" w:rsidRPr="004F3B43" w14:paraId="1DA55569" w14:textId="77777777" w:rsidTr="000601C7">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7597E79"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rPr>
              <w:t>4.1</w:t>
            </w:r>
          </w:p>
        </w:tc>
        <w:tc>
          <w:tcPr>
            <w:tcW w:w="2224" w:type="dxa"/>
            <w:vMerge w:val="restart"/>
            <w:tcBorders>
              <w:top w:val="single" w:sz="4" w:space="0" w:color="auto"/>
              <w:left w:val="single" w:sz="4" w:space="0" w:color="auto"/>
              <w:bottom w:val="single" w:sz="4" w:space="0" w:color="auto"/>
              <w:right w:val="single" w:sz="4" w:space="0" w:color="auto"/>
            </w:tcBorders>
            <w:vAlign w:val="center"/>
          </w:tcPr>
          <w:p w14:paraId="2F559F2E" w14:textId="77777777" w:rsidR="00EA182D" w:rsidRPr="004F3B43" w:rsidRDefault="00EA182D" w:rsidP="000601C7">
            <w:pPr>
              <w:spacing w:line="288" w:lineRule="auto"/>
              <w:rPr>
                <w:rFonts w:ascii="Arial" w:hAnsi="Arial" w:cs="Arial"/>
                <w:color w:val="000000" w:themeColor="text1"/>
                <w:sz w:val="19"/>
                <w:szCs w:val="19"/>
              </w:rPr>
            </w:pPr>
            <w:r w:rsidRPr="004F3B43">
              <w:rPr>
                <w:rFonts w:ascii="Arial" w:eastAsia="Helvetica" w:hAnsi="Arial" w:cs="Arial"/>
                <w:color w:val="000000" w:themeColor="text1"/>
                <w:sz w:val="19"/>
                <w:szCs w:val="19"/>
              </w:rPr>
              <w:t>Vecná oprávnenosť výdavkov projektu - obsahová oprávnenosť, účelnosť a účinnosť</w:t>
            </w:r>
          </w:p>
        </w:tc>
        <w:tc>
          <w:tcPr>
            <w:tcW w:w="4962" w:type="dxa"/>
            <w:vMerge w:val="restart"/>
            <w:tcBorders>
              <w:top w:val="single" w:sz="4" w:space="0" w:color="auto"/>
              <w:left w:val="single" w:sz="4" w:space="0" w:color="auto"/>
              <w:bottom w:val="single" w:sz="4" w:space="0" w:color="auto"/>
              <w:right w:val="single" w:sz="4" w:space="0" w:color="auto"/>
            </w:tcBorders>
            <w:vAlign w:val="center"/>
          </w:tcPr>
          <w:p w14:paraId="02C87C89" w14:textId="77777777" w:rsidR="00EA182D" w:rsidRPr="004F3B43" w:rsidRDefault="00EA182D" w:rsidP="000601C7">
            <w:pPr>
              <w:pStyle w:val="Normlnywebov"/>
              <w:spacing w:before="0" w:beforeAutospacing="0" w:after="0" w:afterAutospacing="0" w:line="288" w:lineRule="auto"/>
              <w:jc w:val="both"/>
              <w:rPr>
                <w:rFonts w:ascii="Arial" w:hAnsi="Arial" w:cs="Arial"/>
                <w:color w:val="000000" w:themeColor="text1"/>
                <w:sz w:val="19"/>
                <w:szCs w:val="19"/>
              </w:rPr>
            </w:pPr>
            <w:r w:rsidRPr="004F3B43">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F3B43">
              <w:rPr>
                <w:rFonts w:ascii="Arial" w:hAnsi="Arial" w:cs="Arial"/>
                <w:color w:val="000000" w:themeColor="text1"/>
                <w:sz w:val="19"/>
                <w:szCs w:val="19"/>
              </w:rPr>
              <w:t>účinnosti (t.j. plnenie stanovených cieľov a dosahovanie plánovaných výsledkov).</w:t>
            </w:r>
          </w:p>
          <w:p w14:paraId="605E388F" w14:textId="77777777" w:rsidR="00EA182D" w:rsidRPr="004F3B43" w:rsidRDefault="00EA182D" w:rsidP="000601C7">
            <w:pPr>
              <w:pStyle w:val="Normlnywebov"/>
              <w:spacing w:before="0" w:beforeAutospacing="0" w:after="0" w:afterAutospacing="0" w:line="288" w:lineRule="auto"/>
              <w:jc w:val="both"/>
              <w:rPr>
                <w:rFonts w:ascii="Arial" w:hAnsi="Arial" w:cs="Arial"/>
                <w:color w:val="000000" w:themeColor="text1"/>
                <w:sz w:val="8"/>
                <w:szCs w:val="8"/>
              </w:rPr>
            </w:pPr>
          </w:p>
          <w:p w14:paraId="19ACA6E9" w14:textId="77777777" w:rsidR="00EA182D" w:rsidRPr="004F3B43" w:rsidRDefault="00EA182D" w:rsidP="000601C7">
            <w:pPr>
              <w:spacing w:line="288" w:lineRule="auto"/>
              <w:jc w:val="both"/>
              <w:rPr>
                <w:rFonts w:ascii="Arial" w:hAnsi="Arial" w:cs="Arial"/>
                <w:i/>
                <w:color w:val="000000" w:themeColor="text1"/>
                <w:sz w:val="19"/>
                <w:szCs w:val="19"/>
              </w:rPr>
            </w:pPr>
            <w:r w:rsidRPr="004F3B43">
              <w:rPr>
                <w:rFonts w:ascii="Arial" w:hAnsi="Arial" w:cs="Arial"/>
                <w:i/>
                <w:color w:val="000000" w:themeColor="text1"/>
                <w:sz w:val="19"/>
                <w:szCs w:val="19"/>
              </w:rPr>
              <w:lastRenderedPageBreak/>
              <w:t>Pozn.: V prípade identifikácie neoprávnených výdavkov projektu sa v procese odborného hodnotenia výška celkových oprávnených výdavkov projektu adekvátne zníži.</w:t>
            </w:r>
          </w:p>
          <w:p w14:paraId="0F8C04C6" w14:textId="77777777" w:rsidR="00EA182D" w:rsidRPr="004F3B43" w:rsidRDefault="00EA182D" w:rsidP="000601C7">
            <w:pPr>
              <w:spacing w:line="288" w:lineRule="auto"/>
              <w:jc w:val="both"/>
              <w:rPr>
                <w:rFonts w:ascii="Arial" w:hAnsi="Arial" w:cs="Arial"/>
                <w:i/>
                <w:color w:val="000000" w:themeColor="text1"/>
                <w:sz w:val="19"/>
                <w:szCs w:val="19"/>
              </w:rPr>
            </w:pPr>
            <w:r w:rsidRPr="004F3B43">
              <w:rPr>
                <w:rFonts w:ascii="Arial" w:hAnsi="Arial" w:cs="Arial"/>
                <w:i/>
                <w:sz w:val="19"/>
                <w:szCs w:val="19"/>
              </w:rPr>
              <w:t>Odborným hodnotením sa súčasne vylúčia identifikované neoprávnené výdavky z rozpočtu projektu; nemôžu sa dopĺňať ďalšie výdavky do rozpočtu projektu a zníži sa výška oprávnených výdavkov v prípade ich nadhodnotenia zo strany žiadateľa. Po prípadnom znížení rozpočtu z dôvodu nadhodnotených výdavkov, alebo odstránení neoprávnených výdavkov, odborný hodnotiteľ posúdi, či je projekt realizovateľný. V prípade, ak aj po takomto krátení je projekt realizovateľný, je splnenie tohto kritéria vyhodnotené kladne.</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99FE864"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rPr>
              <w:lastRenderedPageBreak/>
              <w:t>Vylučujúce kritérium</w:t>
            </w:r>
          </w:p>
        </w:tc>
        <w:tc>
          <w:tcPr>
            <w:tcW w:w="1276" w:type="dxa"/>
            <w:tcBorders>
              <w:top w:val="single" w:sz="4" w:space="0" w:color="auto"/>
              <w:left w:val="single" w:sz="4" w:space="0" w:color="auto"/>
              <w:bottom w:val="single" w:sz="4" w:space="0" w:color="auto"/>
              <w:right w:val="single" w:sz="4" w:space="0" w:color="auto"/>
            </w:tcBorders>
            <w:vAlign w:val="center"/>
          </w:tcPr>
          <w:p w14:paraId="56A2EA3E"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rPr>
              <w:t>áno</w:t>
            </w:r>
          </w:p>
        </w:tc>
        <w:tc>
          <w:tcPr>
            <w:tcW w:w="4678" w:type="dxa"/>
            <w:tcBorders>
              <w:top w:val="single" w:sz="4" w:space="0" w:color="auto"/>
              <w:left w:val="single" w:sz="4" w:space="0" w:color="auto"/>
              <w:bottom w:val="single" w:sz="4" w:space="0" w:color="auto"/>
              <w:right w:val="single" w:sz="4" w:space="0" w:color="auto"/>
            </w:tcBorders>
            <w:vAlign w:val="center"/>
          </w:tcPr>
          <w:p w14:paraId="430122EA" w14:textId="77777777" w:rsidR="00EA182D" w:rsidRPr="004F3B43" w:rsidRDefault="00EA182D" w:rsidP="000601C7">
            <w:pPr>
              <w:spacing w:line="288" w:lineRule="auto"/>
              <w:jc w:val="both"/>
              <w:rPr>
                <w:rFonts w:ascii="Arial" w:eastAsia="Helvetica" w:hAnsi="Arial" w:cs="Arial"/>
                <w:sz w:val="19"/>
                <w:szCs w:val="19"/>
              </w:rPr>
            </w:pPr>
            <w:r w:rsidRPr="004F3B43">
              <w:rPr>
                <w:rFonts w:ascii="Arial" w:eastAsia="Helvetica" w:hAnsi="Arial" w:cs="Arial"/>
                <w:sz w:val="19"/>
                <w:szCs w:val="19"/>
              </w:rPr>
              <w:t xml:space="preserve">Žiadateľom žiadané výdavky sú vecne (obsahovo) oprávnené v zmysle riadiacej dokumentácie IROP upravujúcej oblasť oprávnenosti výdavkov, resp. výzvy, sú účelné z pohľadu dosahovania stanovených cieľov projektu a spĺňajú zásadu </w:t>
            </w:r>
            <w:r w:rsidRPr="004F3B43">
              <w:rPr>
                <w:rFonts w:ascii="Arial" w:hAnsi="Arial" w:cs="Arial"/>
                <w:sz w:val="19"/>
                <w:szCs w:val="19"/>
              </w:rPr>
              <w:t>účinnosti a prípadné z</w:t>
            </w:r>
            <w:r w:rsidRPr="004F3B43">
              <w:rPr>
                <w:rFonts w:ascii="Arial" w:eastAsia="Helvetica" w:hAnsi="Arial" w:cs="Arial"/>
                <w:sz w:val="19"/>
                <w:szCs w:val="19"/>
              </w:rPr>
              <w:t xml:space="preserve">níženie nárokovaných celkových oprávnených výdavkov projektu z </w:t>
            </w:r>
            <w:r w:rsidRPr="004F3B43">
              <w:rPr>
                <w:rFonts w:ascii="Arial" w:hAnsi="Arial" w:cs="Arial"/>
                <w:sz w:val="19"/>
                <w:szCs w:val="19"/>
              </w:rPr>
              <w:t>dôvodu identifikovaných nadhodnotených výdavkov, alebo odstránenia neoprávnených výdavkov,</w:t>
            </w:r>
            <w:r>
              <w:rPr>
                <w:rFonts w:ascii="Arial" w:hAnsi="Arial" w:cs="Arial"/>
                <w:sz w:val="19"/>
                <w:szCs w:val="19"/>
              </w:rPr>
              <w:t xml:space="preserve"> </w:t>
            </w:r>
            <w:r w:rsidRPr="004F3B43">
              <w:rPr>
                <w:rFonts w:ascii="Arial" w:eastAsia="Helvetica" w:hAnsi="Arial" w:cs="Arial"/>
                <w:sz w:val="19"/>
                <w:szCs w:val="19"/>
              </w:rPr>
              <w:t xml:space="preserve">nemá vplyv na úspešnú realizáciu projektu. </w:t>
            </w:r>
          </w:p>
        </w:tc>
      </w:tr>
      <w:tr w:rsidR="00EA182D" w:rsidRPr="004F3B43" w14:paraId="5359D0F8" w14:textId="77777777" w:rsidTr="000601C7">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6ACA4DEC" w14:textId="77777777" w:rsidR="00EA182D" w:rsidRPr="004F3B43" w:rsidRDefault="00EA182D" w:rsidP="000601C7">
            <w:pPr>
              <w:spacing w:line="288" w:lineRule="auto"/>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tcPr>
          <w:p w14:paraId="6E1C3A16" w14:textId="77777777" w:rsidR="00EA182D" w:rsidRPr="004F3B43" w:rsidRDefault="00EA182D" w:rsidP="000601C7">
            <w:pPr>
              <w:spacing w:line="288" w:lineRule="auto"/>
              <w:rPr>
                <w:rFonts w:ascii="Arial" w:hAnsi="Arial" w:cs="Arial"/>
                <w:color w:val="000000" w:themeColor="text1"/>
                <w:sz w:val="19"/>
                <w:szCs w:val="19"/>
              </w:rPr>
            </w:pPr>
          </w:p>
        </w:tc>
        <w:tc>
          <w:tcPr>
            <w:tcW w:w="4962" w:type="dxa"/>
            <w:vMerge/>
            <w:tcBorders>
              <w:top w:val="single" w:sz="4" w:space="0" w:color="auto"/>
              <w:left w:val="single" w:sz="4" w:space="0" w:color="auto"/>
              <w:bottom w:val="single" w:sz="4" w:space="0" w:color="auto"/>
              <w:right w:val="single" w:sz="4" w:space="0" w:color="auto"/>
            </w:tcBorders>
            <w:vAlign w:val="center"/>
          </w:tcPr>
          <w:p w14:paraId="4BED58CD" w14:textId="77777777" w:rsidR="00EA182D" w:rsidRPr="004F3B43" w:rsidRDefault="00EA182D" w:rsidP="000601C7">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B747F38" w14:textId="77777777" w:rsidR="00EA182D" w:rsidRPr="004F3B43" w:rsidRDefault="00EA182D" w:rsidP="000601C7">
            <w:pPr>
              <w:spacing w:line="288" w:lineRule="auto"/>
              <w:jc w:val="center"/>
              <w:rPr>
                <w:rFonts w:ascii="Arial" w:hAnsi="Arial" w:cs="Arial"/>
                <w:color w:val="000000" w:themeColor="text1"/>
                <w:sz w:val="19"/>
                <w:szCs w:val="19"/>
              </w:rPr>
            </w:pPr>
          </w:p>
        </w:tc>
        <w:tc>
          <w:tcPr>
            <w:tcW w:w="1276" w:type="dxa"/>
            <w:tcBorders>
              <w:top w:val="single" w:sz="4" w:space="0" w:color="auto"/>
              <w:left w:val="single" w:sz="4" w:space="0" w:color="auto"/>
              <w:bottom w:val="single" w:sz="4" w:space="0" w:color="auto"/>
              <w:right w:val="single" w:sz="4" w:space="0" w:color="auto"/>
            </w:tcBorders>
            <w:vAlign w:val="center"/>
          </w:tcPr>
          <w:p w14:paraId="6F4183DF"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rPr>
              <w:t>nie</w:t>
            </w:r>
          </w:p>
        </w:tc>
        <w:tc>
          <w:tcPr>
            <w:tcW w:w="4678" w:type="dxa"/>
            <w:tcBorders>
              <w:top w:val="single" w:sz="4" w:space="0" w:color="auto"/>
              <w:left w:val="single" w:sz="4" w:space="0" w:color="auto"/>
              <w:bottom w:val="single" w:sz="4" w:space="0" w:color="auto"/>
              <w:right w:val="single" w:sz="4" w:space="0" w:color="auto"/>
            </w:tcBorders>
            <w:vAlign w:val="center"/>
          </w:tcPr>
          <w:p w14:paraId="3F6CFE05" w14:textId="77777777" w:rsidR="00EA182D" w:rsidRPr="004F3B43" w:rsidRDefault="00EA182D" w:rsidP="000601C7">
            <w:pPr>
              <w:spacing w:line="288" w:lineRule="auto"/>
              <w:jc w:val="both"/>
              <w:rPr>
                <w:rFonts w:ascii="Arial" w:eastAsia="Helvetica" w:hAnsi="Arial" w:cs="Arial"/>
                <w:sz w:val="19"/>
                <w:szCs w:val="19"/>
              </w:rPr>
            </w:pPr>
            <w:r w:rsidRPr="004F3B43">
              <w:rPr>
                <w:rFonts w:ascii="Arial" w:eastAsia="Helvetica" w:hAnsi="Arial" w:cs="Arial"/>
                <w:sz w:val="19"/>
                <w:szCs w:val="19"/>
              </w:rPr>
              <w:t xml:space="preserve">Žiadateľom žiadané výdavky nie sú vecne (obsahovo) oprávnené v zmysle riadiacej dokumentácie IROP upravujúcej oblasť oprávnenosti výdavkov, resp. výzvy, sú účelné z pohľadu dosahovania stanovených cieľov projektu a spĺňajú zásadu </w:t>
            </w:r>
            <w:r w:rsidRPr="004F3B43">
              <w:rPr>
                <w:rFonts w:ascii="Arial" w:hAnsi="Arial" w:cs="Arial"/>
                <w:sz w:val="19"/>
                <w:szCs w:val="19"/>
              </w:rPr>
              <w:t>účinnosti a z</w:t>
            </w:r>
            <w:r w:rsidRPr="004F3B43">
              <w:rPr>
                <w:rFonts w:ascii="Arial" w:eastAsia="Helvetica" w:hAnsi="Arial" w:cs="Arial"/>
                <w:sz w:val="19"/>
                <w:szCs w:val="19"/>
              </w:rPr>
              <w:t xml:space="preserve">níženie nárokovaných celkových oprávnených výdavkov projektu z </w:t>
            </w:r>
            <w:r w:rsidRPr="004F3B43">
              <w:rPr>
                <w:rFonts w:ascii="Arial" w:hAnsi="Arial" w:cs="Arial"/>
                <w:sz w:val="19"/>
                <w:szCs w:val="19"/>
              </w:rPr>
              <w:t>dôvodu identifikácie nadhodnotených výdavkov, alebo odstránenia neoprávnených výdavkov,</w:t>
            </w:r>
            <w:r>
              <w:rPr>
                <w:rFonts w:ascii="Arial" w:hAnsi="Arial" w:cs="Arial"/>
                <w:sz w:val="19"/>
                <w:szCs w:val="19"/>
              </w:rPr>
              <w:t xml:space="preserve"> </w:t>
            </w:r>
            <w:r w:rsidRPr="004F3B43">
              <w:rPr>
                <w:rFonts w:ascii="Arial" w:eastAsia="Helvetica" w:hAnsi="Arial" w:cs="Arial"/>
                <w:sz w:val="19"/>
                <w:szCs w:val="19"/>
              </w:rPr>
              <w:t>má vplyv na úspešnú realizáciu projektu.</w:t>
            </w:r>
          </w:p>
        </w:tc>
      </w:tr>
    </w:tbl>
    <w:p w14:paraId="37B29B0D" w14:textId="197E29F9" w:rsidR="00EA182D" w:rsidRPr="004F3B43" w:rsidRDefault="00EA182D" w:rsidP="00AB7D0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lastRenderedPageBreak/>
        <w:t>Hodnotiteľ posudzuje najmä informácie uvedené v častiach ŽoNFP: 11. Rozpočet projektu, príloha Rozpočet projektu</w:t>
      </w:r>
      <w:r w:rsidR="00AB7D0D">
        <w:rPr>
          <w:rFonts w:ascii="Arial" w:hAnsi="Arial" w:cs="Arial"/>
          <w:color w:val="000000" w:themeColor="text1"/>
          <w:sz w:val="19"/>
          <w:szCs w:val="19"/>
        </w:rPr>
        <w:t xml:space="preserve">, </w:t>
      </w:r>
      <w:r w:rsidR="00AB7D0D" w:rsidRPr="007163FB">
        <w:rPr>
          <w:rFonts w:ascii="Arial" w:hAnsi="Arial" w:cs="Arial"/>
          <w:color w:val="000000" w:themeColor="text1"/>
          <w:sz w:val="19"/>
          <w:szCs w:val="19"/>
        </w:rPr>
        <w:t>príloha Podklady k rozpočtu projektu.</w:t>
      </w:r>
    </w:p>
    <w:p w14:paraId="59F31D35" w14:textId="6E6A7BCC"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F3B43">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w:t>
      </w:r>
      <w:r w:rsidR="00D24F71">
        <w:rPr>
          <w:rFonts w:ascii="Arial" w:eastAsiaTheme="minorHAnsi" w:hAnsi="Arial" w:cs="Arial"/>
          <w:color w:val="000000" w:themeColor="text1"/>
          <w:sz w:val="19"/>
          <w:szCs w:val="19"/>
          <w:bdr w:val="none" w:sz="0" w:space="0" w:color="auto"/>
          <w:lang w:val="sk-SK"/>
        </w:rPr>
        <w:t xml:space="preserve"> a overuje ich efektívnosť a hospodárnosť</w:t>
      </w:r>
      <w:r w:rsidRPr="004F3B43">
        <w:rPr>
          <w:rFonts w:ascii="Arial" w:eastAsiaTheme="minorHAnsi" w:hAnsi="Arial" w:cs="Arial"/>
          <w:color w:val="000000" w:themeColor="text1"/>
          <w:sz w:val="19"/>
          <w:szCs w:val="19"/>
          <w:bdr w:val="none" w:sz="0" w:space="0" w:color="auto"/>
          <w:lang w:val="sk-SK"/>
        </w:rPr>
        <w:t>. V rámci hodnotiaceho kritéria sa jednotlivé výdavky hodnotia z nasledovných aspektov:</w:t>
      </w:r>
    </w:p>
    <w:p w14:paraId="5EB47223" w14:textId="77777777" w:rsidR="00EA182D" w:rsidRPr="00D24F71" w:rsidRDefault="00EA182D" w:rsidP="00AB7D0D">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24F71">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B8B9A88" w14:textId="77777777" w:rsidR="00EA182D" w:rsidRPr="00D24F71" w:rsidRDefault="00EA182D" w:rsidP="00AB7D0D">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24F71">
        <w:rPr>
          <w:rFonts w:ascii="Arial" w:eastAsiaTheme="minorHAnsi" w:hAnsi="Arial" w:cs="Arial"/>
          <w:color w:val="000000" w:themeColor="text1"/>
          <w:sz w:val="19"/>
          <w:szCs w:val="19"/>
          <w:bdr w:val="none" w:sz="0" w:space="0" w:color="auto"/>
          <w:lang w:val="sk-SK"/>
        </w:rPr>
        <w:t>musia byť v súlade so zoznamom oprávnených výdavkov uvedených vo výzve na predkladanie žiadostí o NFP,</w:t>
      </w:r>
    </w:p>
    <w:p w14:paraId="45B429E0" w14:textId="77777777" w:rsidR="00EA182D" w:rsidRPr="00D24F71" w:rsidRDefault="00EA182D" w:rsidP="00AB7D0D">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24F71">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2BB74161" w14:textId="77777777" w:rsidR="00EA182D" w:rsidRPr="00D24F71" w:rsidRDefault="00EA182D" w:rsidP="00AB7D0D">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24F71">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50E373" w14:textId="4C3776BA" w:rsidR="00AB7D0D" w:rsidRPr="00D24F71" w:rsidRDefault="00AB7D0D" w:rsidP="00AB7D0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24F71">
        <w:rPr>
          <w:rFonts w:ascii="Arial" w:eastAsiaTheme="minorHAnsi" w:hAnsi="Arial" w:cs="Arial"/>
          <w:color w:val="000000" w:themeColor="text1"/>
          <w:sz w:val="19"/>
          <w:szCs w:val="19"/>
          <w:bdr w:val="none" w:sz="0" w:space="0" w:color="auto"/>
          <w:lang w:val="sk-SK"/>
        </w:rPr>
        <w:t>dodržanie jednotlivých percentuálnych a finančných limitov na určené typy výdavkov,</w:t>
      </w:r>
    </w:p>
    <w:p w14:paraId="290F6E82" w14:textId="77777777" w:rsidR="00AB7D0D" w:rsidRPr="00D24F71" w:rsidRDefault="00AB7D0D" w:rsidP="00AB7D0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auto"/>
          <w:sz w:val="19"/>
          <w:szCs w:val="19"/>
          <w:lang w:val="sk-SK"/>
        </w:rPr>
      </w:pPr>
      <w:r w:rsidRPr="00D24F71">
        <w:rPr>
          <w:rFonts w:ascii="Arial" w:eastAsiaTheme="minorHAnsi" w:hAnsi="Arial" w:cs="Arial"/>
          <w:color w:val="auto"/>
          <w:sz w:val="19"/>
          <w:szCs w:val="19"/>
          <w:bdr w:val="none" w:sz="0" w:space="0" w:color="auto"/>
          <w:lang w:val="sk-SK"/>
        </w:rPr>
        <w:t>primeranosť merných množstiev výdavkov z pohľadu nevyhnutnosti pre realizáciu aktivít projektu,</w:t>
      </w:r>
    </w:p>
    <w:p w14:paraId="3053F943" w14:textId="7E9DFA0A" w:rsidR="00EA182D" w:rsidRPr="007163FB" w:rsidRDefault="00AB7D0D" w:rsidP="00AB7D0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auto"/>
          <w:sz w:val="19"/>
          <w:szCs w:val="19"/>
          <w:lang w:val="sk-SK"/>
        </w:rPr>
      </w:pPr>
      <w:r w:rsidRPr="00D24F71">
        <w:rPr>
          <w:rFonts w:ascii="Arial" w:eastAsiaTheme="minorHAnsi" w:hAnsi="Arial" w:cs="Arial"/>
          <w:color w:val="auto"/>
          <w:sz w:val="19"/>
          <w:szCs w:val="19"/>
          <w:bdr w:val="none" w:sz="0" w:space="0" w:color="auto"/>
          <w:lang w:val="sk-SK"/>
        </w:rPr>
        <w:t>či sú jednotkové ceny identifikované na základe dôveryhodného</w:t>
      </w:r>
      <w:r w:rsidRPr="007163FB">
        <w:rPr>
          <w:rFonts w:ascii="Arial" w:eastAsiaTheme="minorHAnsi" w:hAnsi="Arial" w:cs="Arial"/>
          <w:color w:val="auto"/>
          <w:sz w:val="19"/>
          <w:szCs w:val="19"/>
          <w:bdr w:val="none" w:sz="0" w:space="0" w:color="auto"/>
          <w:lang w:val="sk-SK"/>
        </w:rPr>
        <w:t xml:space="preserve"> prieskumu trhu</w:t>
      </w:r>
      <w:r w:rsidRPr="007163FB">
        <w:rPr>
          <w:rFonts w:ascii="Arial" w:hAnsi="Arial" w:cs="Arial"/>
          <w:color w:val="auto"/>
          <w:sz w:val="19"/>
          <w:szCs w:val="19"/>
          <w:lang w:val="sk-SK"/>
        </w:rPr>
        <w:t>/ prieskumu trhových cien</w:t>
      </w:r>
      <w:r w:rsidR="00D24F71">
        <w:rPr>
          <w:rFonts w:ascii="Arial" w:hAnsi="Arial" w:cs="Arial"/>
          <w:color w:val="auto"/>
          <w:sz w:val="19"/>
          <w:szCs w:val="19"/>
          <w:lang w:val="sk-SK"/>
        </w:rPr>
        <w:t>, uzatvorenej zmluvy</w:t>
      </w:r>
      <w:r w:rsidRPr="007163FB">
        <w:rPr>
          <w:rFonts w:ascii="Arial" w:hAnsi="Arial" w:cs="Arial"/>
          <w:color w:val="auto"/>
          <w:sz w:val="19"/>
          <w:szCs w:val="19"/>
          <w:lang w:val="sk-SK"/>
        </w:rPr>
        <w:t xml:space="preserve"> alebo iných podkladov.</w:t>
      </w:r>
    </w:p>
    <w:p w14:paraId="208E3CB5" w14:textId="316D36CA" w:rsidR="00EA182D" w:rsidRPr="000B5056" w:rsidRDefault="00EA182D" w:rsidP="000B5056">
      <w:pPr>
        <w:spacing w:before="120" w:after="120" w:line="288" w:lineRule="auto"/>
        <w:jc w:val="both"/>
        <w:rPr>
          <w:rFonts w:ascii="Arial" w:hAnsi="Arial" w:cs="Arial"/>
          <w:color w:val="000000" w:themeColor="text1"/>
          <w:sz w:val="19"/>
          <w:szCs w:val="19"/>
        </w:rPr>
      </w:pPr>
      <w:r w:rsidRPr="000B5056">
        <w:rPr>
          <w:rFonts w:ascii="Arial" w:hAnsi="Arial" w:cs="Arial"/>
          <w:color w:val="000000" w:themeColor="text1"/>
          <w:sz w:val="19"/>
          <w:szCs w:val="19"/>
        </w:rPr>
        <w:t>V prípade identifikácie neoprávnených výdavkov projektu z dôvodu matematickej chyby vzniknutej vo výpočte finančnej analýzy sa v procese odborného hodnotenia výška celkových oprávnených výdavkov projektu adekvátne zníži.</w:t>
      </w:r>
    </w:p>
    <w:p w14:paraId="5167E34D" w14:textId="050C885F" w:rsidR="008B2F98" w:rsidRPr="007163FB" w:rsidRDefault="00D24F71" w:rsidP="008B2F98">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V rámci overovania efektívnosti a hospodárnosti výdavkov</w:t>
      </w:r>
      <w:r w:rsidRPr="007163FB">
        <w:rPr>
          <w:rFonts w:ascii="Arial" w:hAnsi="Arial" w:cs="Arial"/>
          <w:sz w:val="19"/>
          <w:szCs w:val="19"/>
        </w:rPr>
        <w:t xml:space="preserve"> </w:t>
      </w:r>
      <w:r>
        <w:rPr>
          <w:rFonts w:ascii="Arial" w:hAnsi="Arial" w:cs="Arial"/>
          <w:sz w:val="19"/>
          <w:szCs w:val="19"/>
        </w:rPr>
        <w:t>h</w:t>
      </w:r>
      <w:r w:rsidR="008B2F98" w:rsidRPr="007163FB">
        <w:rPr>
          <w:rFonts w:ascii="Arial" w:hAnsi="Arial" w:cs="Arial"/>
          <w:sz w:val="19"/>
          <w:szCs w:val="19"/>
        </w:rPr>
        <w:t xml:space="preserve">odnotiteľ vyhodnotí, či navrhnuté výdavky projektu spĺňajú podmienku hospodárnosti a efektívnosti a či zodpovedajú obvyklým cenám v danom mieste a čase. Pri overovaní hospodárnosti  hodnotiteľ postupuje v zmysle metodického pokynu CKO č.18 k overovaniu hospodárnosti výdavkov. </w:t>
      </w:r>
      <w:r w:rsidR="000B5056" w:rsidRPr="007163FB">
        <w:rPr>
          <w:rFonts w:ascii="Arial" w:hAnsi="Arial" w:cs="Arial"/>
          <w:color w:val="000000" w:themeColor="text1"/>
          <w:sz w:val="19"/>
          <w:szCs w:val="19"/>
        </w:rPr>
        <w:t>Hodnotiteľ v závislosti od druhu výdavku identifikuje, či na hodnotené výdavky projektu sa aplikujú percentuálne/finančné limity a /alebo benchmarky, či sa bude hodnotiť kritérium podľa zrealizovaného verejného obstarávania, prieskumu trhu, alebo iným spôsobom uvedeným v Prílohe 2a Príručky pre žiadateľa pre národné projekty. </w:t>
      </w:r>
    </w:p>
    <w:p w14:paraId="4B5C4CBE" w14:textId="77777777" w:rsidR="00D24F71" w:rsidRPr="00E33F54" w:rsidRDefault="00D24F71" w:rsidP="00D24F71">
      <w:pPr>
        <w:widowControl w:val="0"/>
        <w:autoSpaceDE w:val="0"/>
        <w:autoSpaceDN w:val="0"/>
        <w:adjustRightInd w:val="0"/>
        <w:spacing w:after="0" w:line="288" w:lineRule="auto"/>
        <w:jc w:val="both"/>
        <w:rPr>
          <w:rFonts w:ascii="Arial" w:hAnsi="Arial" w:cs="Arial"/>
          <w:sz w:val="19"/>
          <w:szCs w:val="19"/>
        </w:rPr>
      </w:pPr>
      <w:r w:rsidRPr="008C4FE4">
        <w:rPr>
          <w:rFonts w:ascii="Arial" w:hAnsi="Arial" w:cs="Arial"/>
          <w:b/>
          <w:sz w:val="19"/>
          <w:szCs w:val="19"/>
        </w:rPr>
        <w:t>Limit výdavkov</w:t>
      </w:r>
      <w:r w:rsidRPr="00E33F54">
        <w:rPr>
          <w:rFonts w:ascii="Arial" w:hAnsi="Arial" w:cs="Arial"/>
          <w:sz w:val="19"/>
          <w:szCs w:val="19"/>
        </w:rPr>
        <w:t xml:space="preserve"> je definovaný ako maximálny limit  na úrovni:</w:t>
      </w:r>
    </w:p>
    <w:p w14:paraId="2EF8E580" w14:textId="77777777" w:rsidR="00D24F71" w:rsidRPr="00E33F54" w:rsidRDefault="00D24F71" w:rsidP="00D24F71">
      <w:pPr>
        <w:pStyle w:val="Odsekzoznamu"/>
        <w:widowControl w:val="0"/>
        <w:numPr>
          <w:ilvl w:val="0"/>
          <w:numId w:val="10"/>
        </w:numPr>
        <w:autoSpaceDE w:val="0"/>
        <w:autoSpaceDN w:val="0"/>
        <w:adjustRightInd w:val="0"/>
        <w:spacing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Pr>
          <w:rFonts w:ascii="Arial" w:hAnsi="Arial" w:cs="Arial"/>
          <w:sz w:val="19"/>
          <w:szCs w:val="19"/>
          <w:lang w:val="sk-SK"/>
        </w:rPr>
        <w:t>informovanie a komunikáciu</w:t>
      </w:r>
      <w:r w:rsidRPr="00E33F54">
        <w:rPr>
          <w:rFonts w:ascii="Arial" w:hAnsi="Arial" w:cs="Arial"/>
          <w:sz w:val="19"/>
          <w:szCs w:val="19"/>
          <w:lang w:val="sk-SK"/>
        </w:rPr>
        <w:t>)</w:t>
      </w:r>
      <w:r>
        <w:rPr>
          <w:rFonts w:ascii="Arial" w:hAnsi="Arial" w:cs="Arial"/>
          <w:sz w:val="19"/>
          <w:szCs w:val="19"/>
          <w:lang w:val="sk-SK"/>
        </w:rPr>
        <w:t>,</w:t>
      </w:r>
    </w:p>
    <w:p w14:paraId="1D892197" w14:textId="77777777" w:rsidR="00D24F71" w:rsidRPr="00E33F54" w:rsidRDefault="00D24F71" w:rsidP="00CF0753">
      <w:pPr>
        <w:pStyle w:val="Odsekzoznamu"/>
        <w:widowControl w:val="0"/>
        <w:numPr>
          <w:ilvl w:val="0"/>
          <w:numId w:val="10"/>
        </w:numPr>
        <w:autoSpaceDE w:val="0"/>
        <w:autoSpaceDN w:val="0"/>
        <w:adjustRightInd w:val="0"/>
        <w:spacing w:after="60" w:line="288" w:lineRule="auto"/>
        <w:ind w:left="714" w:hanging="357"/>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71AC7386" w14:textId="27473BD7" w:rsidR="008B2F98" w:rsidRPr="007163FB" w:rsidRDefault="008B2F98" w:rsidP="008B2F98">
      <w:pPr>
        <w:widowControl w:val="0"/>
        <w:autoSpaceDE w:val="0"/>
        <w:autoSpaceDN w:val="0"/>
        <w:adjustRightInd w:val="0"/>
        <w:spacing w:after="60" w:line="288" w:lineRule="auto"/>
        <w:jc w:val="both"/>
        <w:rPr>
          <w:rFonts w:ascii="Arial" w:hAnsi="Arial" w:cs="Arial"/>
          <w:sz w:val="19"/>
          <w:szCs w:val="19"/>
        </w:rPr>
      </w:pPr>
      <w:r w:rsidRPr="007163FB">
        <w:rPr>
          <w:rFonts w:ascii="Arial" w:hAnsi="Arial" w:cs="Arial"/>
          <w:sz w:val="19"/>
          <w:szCs w:val="19"/>
        </w:rPr>
        <w:t>V prípade finančných limitov, ktoré sa vzťahujú na konkrétne typy výdavkov (napr. informačná tabuľa a pod.), sú stanovené konkrétne hodnoty v Prílohe 2.b Príručky pre žiadateľa pre národné projekty</w:t>
      </w:r>
      <w:r w:rsidRPr="007163FB">
        <w:rPr>
          <w:rFonts w:ascii="Arial" w:hAnsi="Arial" w:cs="Arial"/>
          <w:b/>
          <w:sz w:val="19"/>
          <w:szCs w:val="19"/>
        </w:rPr>
        <w:t>. V prípade prekročenia stanovených finančných limitov</w:t>
      </w:r>
      <w:r w:rsidRPr="007163FB">
        <w:rPr>
          <w:rFonts w:ascii="Arial" w:hAnsi="Arial" w:cs="Arial"/>
          <w:sz w:val="19"/>
          <w:szCs w:val="19"/>
        </w:rPr>
        <w:t xml:space="preserve"> hodnotiteľ vyhodnotí výdavky nad stanovený limit ako neoprávnené a bude adekvátne znížená výška výdavku do úrovne limitu.</w:t>
      </w:r>
    </w:p>
    <w:p w14:paraId="73415FDC" w14:textId="77777777" w:rsidR="008B2F98" w:rsidRPr="007163FB" w:rsidRDefault="008B2F98" w:rsidP="008B2F98">
      <w:pPr>
        <w:widowControl w:val="0"/>
        <w:autoSpaceDE w:val="0"/>
        <w:autoSpaceDN w:val="0"/>
        <w:adjustRightInd w:val="0"/>
        <w:spacing w:after="60" w:line="288" w:lineRule="auto"/>
        <w:jc w:val="both"/>
        <w:rPr>
          <w:rFonts w:ascii="Arial" w:hAnsi="Arial" w:cs="Arial"/>
          <w:sz w:val="19"/>
          <w:szCs w:val="19"/>
        </w:rPr>
      </w:pPr>
      <w:r w:rsidRPr="007163FB">
        <w:rPr>
          <w:rFonts w:ascii="Arial" w:hAnsi="Arial" w:cs="Arial"/>
          <w:b/>
          <w:sz w:val="19"/>
          <w:szCs w:val="19"/>
        </w:rPr>
        <w:lastRenderedPageBreak/>
        <w:t>Prieskum trhu/prieskum trhových cien</w:t>
      </w:r>
      <w:r w:rsidRPr="007163FB">
        <w:rPr>
          <w:rFonts w:ascii="Arial" w:hAnsi="Arial" w:cs="Arial"/>
          <w:sz w:val="19"/>
          <w:szCs w:val="19"/>
        </w:rPr>
        <w:t> je definovaný ako činnosť, pri ktorej žiadateľ zistí a vyhodnotí  informácie o aktuálnych cenách  tovarov, prác alebo služieb na trhu v danom čase a v danom mieste.  Prieskum trhových cien sa vykonáva  s cieľom stanovenia cien v rozpočte projektu. Prieskum trhu sa vykonáva za účelom získania PHZ a predkladá sa v prípade, že VO v čase predloženia žiadosti o NFP nebolo ukončené.</w:t>
      </w:r>
    </w:p>
    <w:p w14:paraId="0A837F04" w14:textId="3838F323" w:rsidR="008B2F98" w:rsidRPr="00D24F71" w:rsidRDefault="008B2F98" w:rsidP="008B2F98">
      <w:pPr>
        <w:widowControl w:val="0"/>
        <w:autoSpaceDE w:val="0"/>
        <w:autoSpaceDN w:val="0"/>
        <w:adjustRightInd w:val="0"/>
        <w:spacing w:after="60" w:line="288" w:lineRule="auto"/>
        <w:jc w:val="both"/>
        <w:rPr>
          <w:rFonts w:ascii="Arial" w:hAnsi="Arial" w:cs="Arial"/>
          <w:color w:val="000000" w:themeColor="text1"/>
          <w:sz w:val="19"/>
          <w:szCs w:val="19"/>
        </w:rPr>
      </w:pPr>
      <w:r w:rsidRPr="00D24F71">
        <w:rPr>
          <w:rFonts w:ascii="Arial" w:hAnsi="Arial" w:cs="Arial"/>
          <w:sz w:val="19"/>
          <w:szCs w:val="19"/>
        </w:rPr>
        <w:t xml:space="preserve">V prípade </w:t>
      </w:r>
      <w:r w:rsidRPr="00D24F71">
        <w:rPr>
          <w:rFonts w:ascii="Arial" w:hAnsi="Arial" w:cs="Arial"/>
          <w:b/>
          <w:sz w:val="19"/>
          <w:szCs w:val="19"/>
        </w:rPr>
        <w:t>zrealizovaného verejného obstarávania</w:t>
      </w:r>
      <w:r w:rsidRPr="00D24F71">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4E6729A9" w14:textId="1987D1AC" w:rsidR="000B5056" w:rsidRPr="00D24F71" w:rsidRDefault="000B5056" w:rsidP="008B2F98">
      <w:pPr>
        <w:spacing w:before="120" w:after="120" w:line="288" w:lineRule="auto"/>
        <w:jc w:val="both"/>
        <w:rPr>
          <w:rFonts w:ascii="Arial" w:hAnsi="Arial" w:cs="Arial"/>
          <w:sz w:val="19"/>
          <w:szCs w:val="19"/>
        </w:rPr>
      </w:pPr>
      <w:r w:rsidRPr="00D24F71">
        <w:rPr>
          <w:rFonts w:ascii="Arial" w:hAnsi="Arial" w:cs="Arial"/>
          <w:sz w:val="19"/>
          <w:szCs w:val="19"/>
        </w:rPr>
        <w:t xml:space="preserve">V prípade, ak odborný hodnotiteľ hodnotí hospodárnosť a efektívnosť výdavkov projektu na základe </w:t>
      </w:r>
      <w:r w:rsidRPr="00D24F71">
        <w:rPr>
          <w:rFonts w:ascii="Arial" w:hAnsi="Arial" w:cs="Arial"/>
          <w:b/>
          <w:sz w:val="19"/>
          <w:szCs w:val="19"/>
        </w:rPr>
        <w:t>vlastných odborných skúseností</w:t>
      </w:r>
      <w:r w:rsidRPr="00D24F71">
        <w:rPr>
          <w:rFonts w:ascii="Arial" w:hAnsi="Arial" w:cs="Arial"/>
          <w:sz w:val="19"/>
          <w:szCs w:val="19"/>
        </w:rPr>
        <w:t xml:space="preserve">, presne popíše postupy a zdôvodnenie daného hodnotenia. </w:t>
      </w:r>
    </w:p>
    <w:p w14:paraId="66B61082" w14:textId="77777777" w:rsidR="000B5056" w:rsidRPr="00E33F54" w:rsidRDefault="000B5056" w:rsidP="000B5056">
      <w:pPr>
        <w:widowControl w:val="0"/>
        <w:autoSpaceDE w:val="0"/>
        <w:autoSpaceDN w:val="0"/>
        <w:adjustRightInd w:val="0"/>
        <w:spacing w:after="60" w:line="288" w:lineRule="auto"/>
        <w:jc w:val="both"/>
        <w:rPr>
          <w:rFonts w:ascii="Arial" w:hAnsi="Arial" w:cs="Arial"/>
          <w:sz w:val="19"/>
          <w:szCs w:val="19"/>
        </w:rPr>
      </w:pPr>
      <w:r w:rsidRPr="00D24F71">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 (v závislosti od typu výdavkov).</w:t>
      </w:r>
    </w:p>
    <w:p w14:paraId="0BBBBC88" w14:textId="77777777"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CF0753">
        <w:rPr>
          <w:rFonts w:ascii="Arial" w:eastAsiaTheme="minorHAnsi" w:hAnsi="Arial" w:cs="Arial"/>
          <w:b/>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Pr="004F3B43">
        <w:rPr>
          <w:rFonts w:ascii="Arial" w:eastAsiaTheme="minorHAnsi" w:hAnsi="Arial" w:cs="Arial"/>
          <w:color w:val="000000" w:themeColor="text1"/>
          <w:sz w:val="19"/>
          <w:szCs w:val="19"/>
          <w:bdr w:val="none" w:sz="0" w:space="0" w:color="auto"/>
          <w:lang w:val="sk-SK"/>
        </w:rPr>
        <w:t xml:space="preserve"> </w:t>
      </w:r>
      <w:r w:rsidRPr="004F3B43">
        <w:rPr>
          <w:rFonts w:ascii="Arial" w:hAnsi="Arial" w:cs="Arial"/>
          <w:color w:val="000000" w:themeColor="text1"/>
          <w:sz w:val="19"/>
          <w:szCs w:val="19"/>
          <w:lang w:val="sk-SK"/>
        </w:rPr>
        <w:t xml:space="preserve">– hodnotiteľ uvedie identifikáciu neoprávnených výdavkov, sumu identifikovaných neoprávnených výdavkov a zdôvodnenie v komentári hodnotiaceho hárku. </w:t>
      </w:r>
      <w:r w:rsidRPr="004F3B43">
        <w:rPr>
          <w:rFonts w:ascii="Arial" w:eastAsiaTheme="minorHAnsi" w:hAnsi="Arial" w:cs="Arial"/>
          <w:color w:val="000000" w:themeColor="text1"/>
          <w:sz w:val="19"/>
          <w:szCs w:val="19"/>
          <w:bdr w:val="none" w:sz="0" w:space="0" w:color="auto"/>
          <w:lang w:val="sk-SK"/>
        </w:rPr>
        <w:t xml:space="preserve">Po prípadnom znížení rozpočtu z dôvodu nadhodnotených výdavkov, alebo odstránení neoprávnených výdavkov, odborný hodnotiteľ posúdi, či je projekt realizovateľný. </w:t>
      </w:r>
    </w:p>
    <w:p w14:paraId="3C3C598A" w14:textId="30F06CDD" w:rsidR="00EA182D"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zvolí výsledné hodnotenie (áno/nie) v zmysle popisu aplikácie hodnotiaceho kritéria. 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vylučujúceho kritéria, a to v prípade kladného ako aj negatívneho hodnotenia.</w:t>
      </w:r>
    </w:p>
    <w:p w14:paraId="49BFF337" w14:textId="396F3B14" w:rsidR="007163FB" w:rsidRDefault="007163FB" w:rsidP="007163FB">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ku každému z pomocných nástrojov na overenie hospodárnosti výdavkov konkrétny spôsob, ako overil podmienku  hospodárnosti a efektívnosti výdavkov a či zodpovedajú obvyklým cenám v danom mieste a čase  (napr. na základe finančných limitov,</w:t>
      </w:r>
      <w:r w:rsidR="00D24F71">
        <w:rPr>
          <w:rFonts w:ascii="Arial" w:hAnsi="Arial" w:cs="Arial"/>
          <w:color w:val="000000" w:themeColor="text1"/>
          <w:sz w:val="19"/>
          <w:szCs w:val="19"/>
        </w:rPr>
        <w:t xml:space="preserve"> percentuálnych limitov,</w:t>
      </w:r>
      <w:r w:rsidRPr="009B070E">
        <w:rPr>
          <w:rFonts w:ascii="Arial" w:hAnsi="Arial" w:cs="Arial"/>
          <w:color w:val="000000" w:themeColor="text1"/>
          <w:sz w:val="19"/>
          <w:szCs w:val="19"/>
        </w:rPr>
        <w:t xml:space="preserve">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63E27033" w14:textId="77777777" w:rsidR="007163FB" w:rsidRDefault="007163FB" w:rsidP="007163FB">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00F751F6" w14:textId="12A53B1E" w:rsidR="007163FB" w:rsidRDefault="007163FB" w:rsidP="007163FB">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 xml:space="preserve">Pri vyhodnotení </w:t>
      </w:r>
      <w:r w:rsidR="00D24F71">
        <w:rPr>
          <w:rFonts w:ascii="Arial" w:hAnsi="Arial" w:cs="Arial"/>
          <w:color w:val="000000" w:themeColor="text1"/>
          <w:sz w:val="19"/>
          <w:szCs w:val="19"/>
        </w:rPr>
        <w:t xml:space="preserve">efektívnosti a hospodárnosti výdavkov </w:t>
      </w:r>
      <w:r>
        <w:rPr>
          <w:rFonts w:ascii="Arial" w:hAnsi="Arial" w:cs="Arial"/>
          <w:color w:val="000000" w:themeColor="text1"/>
          <w:sz w:val="19"/>
          <w:szCs w:val="19"/>
        </w:rPr>
        <w:t>je hodnotiteľ povinný vykonať samostatné overenie dodržania princípu hospodárnosti a nie je oprávnený spoliehať sa len na dokumentáciu predloženú žiadateľom, pričom je povinný dodržať postupy uvedené v kapitole 4.1.1. PpOH.</w:t>
      </w:r>
    </w:p>
    <w:p w14:paraId="128D1734" w14:textId="77777777" w:rsidR="007163FB" w:rsidRPr="004F3B43" w:rsidRDefault="007163FB" w:rsidP="00EA182D">
      <w:pPr>
        <w:spacing w:before="120" w:after="120" w:line="288" w:lineRule="auto"/>
        <w:jc w:val="both"/>
        <w:rPr>
          <w:rFonts w:ascii="Arial" w:hAnsi="Arial" w:cs="Arial"/>
          <w:color w:val="000000" w:themeColor="text1"/>
          <w:sz w:val="19"/>
          <w:szCs w:val="19"/>
        </w:rPr>
      </w:pPr>
    </w:p>
    <w:p w14:paraId="7243DC72" w14:textId="7BD46625" w:rsidR="00EA182D" w:rsidRDefault="00EA182D" w:rsidP="00EA182D">
      <w:pPr>
        <w:spacing w:before="120" w:after="120" w:line="288" w:lineRule="auto"/>
        <w:jc w:val="both"/>
        <w:rPr>
          <w:rFonts w:ascii="Arial" w:hAnsi="Arial" w:cs="Arial"/>
          <w:color w:val="000000" w:themeColor="text1"/>
          <w:sz w:val="19"/>
          <w:szCs w:val="19"/>
        </w:rPr>
      </w:pPr>
    </w:p>
    <w:p w14:paraId="1E5F90E1" w14:textId="5345CFE5" w:rsidR="008B2F98" w:rsidRDefault="008B2F98" w:rsidP="00EA182D">
      <w:pPr>
        <w:spacing w:before="120" w:after="120" w:line="288" w:lineRule="auto"/>
        <w:jc w:val="both"/>
        <w:rPr>
          <w:rFonts w:ascii="Arial" w:hAnsi="Arial" w:cs="Arial"/>
          <w:color w:val="000000" w:themeColor="text1"/>
          <w:sz w:val="19"/>
          <w:szCs w:val="19"/>
        </w:rPr>
      </w:pPr>
    </w:p>
    <w:p w14:paraId="38455AF6" w14:textId="57BF4FE1" w:rsidR="008B2F98" w:rsidRDefault="008B2F98" w:rsidP="00EA182D">
      <w:pPr>
        <w:spacing w:before="120" w:after="120" w:line="288" w:lineRule="auto"/>
        <w:jc w:val="both"/>
        <w:rPr>
          <w:rFonts w:ascii="Arial" w:hAnsi="Arial" w:cs="Arial"/>
          <w:color w:val="000000" w:themeColor="text1"/>
          <w:sz w:val="19"/>
          <w:szCs w:val="19"/>
        </w:rPr>
      </w:pPr>
    </w:p>
    <w:p w14:paraId="616853A3" w14:textId="7A5D7971" w:rsidR="008B2F98" w:rsidRDefault="008B2F98" w:rsidP="00EA182D">
      <w:pPr>
        <w:spacing w:before="120" w:after="120" w:line="288" w:lineRule="auto"/>
        <w:jc w:val="both"/>
        <w:rPr>
          <w:rFonts w:ascii="Arial" w:hAnsi="Arial" w:cs="Arial"/>
          <w:color w:val="000000" w:themeColor="text1"/>
          <w:sz w:val="19"/>
          <w:szCs w:val="19"/>
        </w:rPr>
      </w:pPr>
    </w:p>
    <w:p w14:paraId="6F08CD19" w14:textId="3FB12B66" w:rsidR="008B2F98" w:rsidRDefault="008B2F98" w:rsidP="00EA182D">
      <w:pPr>
        <w:spacing w:before="120" w:after="120" w:line="288" w:lineRule="auto"/>
        <w:jc w:val="both"/>
        <w:rPr>
          <w:rFonts w:ascii="Arial" w:hAnsi="Arial" w:cs="Arial"/>
          <w:color w:val="000000" w:themeColor="text1"/>
          <w:sz w:val="19"/>
          <w:szCs w:val="19"/>
        </w:rPr>
      </w:pPr>
    </w:p>
    <w:p w14:paraId="1B8A57B7" w14:textId="77777777" w:rsidR="008B2F98" w:rsidRDefault="008B2F98" w:rsidP="00EA182D">
      <w:pPr>
        <w:spacing w:before="120" w:after="120" w:line="288" w:lineRule="auto"/>
        <w:jc w:val="both"/>
        <w:rPr>
          <w:rFonts w:ascii="Arial" w:hAnsi="Arial" w:cs="Arial"/>
          <w:color w:val="000000" w:themeColor="text1"/>
          <w:sz w:val="19"/>
          <w:szCs w:val="19"/>
        </w:rPr>
      </w:pPr>
    </w:p>
    <w:tbl>
      <w:tblPr>
        <w:tblStyle w:val="TableGrid6"/>
        <w:tblW w:w="15021" w:type="dxa"/>
        <w:tblLayout w:type="fixed"/>
        <w:tblLook w:val="04A0" w:firstRow="1" w:lastRow="0" w:firstColumn="1" w:lastColumn="0" w:noHBand="0" w:noVBand="1"/>
      </w:tblPr>
      <w:tblGrid>
        <w:gridCol w:w="606"/>
        <w:gridCol w:w="2224"/>
        <w:gridCol w:w="5670"/>
        <w:gridCol w:w="1276"/>
        <w:gridCol w:w="1275"/>
        <w:gridCol w:w="3970"/>
      </w:tblGrid>
      <w:tr w:rsidR="00EA182D" w:rsidRPr="004F3B43" w14:paraId="432AAD5A" w14:textId="77777777" w:rsidTr="000601C7">
        <w:trPr>
          <w:trHeight w:val="397"/>
        </w:trPr>
        <w:tc>
          <w:tcPr>
            <w:tcW w:w="606" w:type="dxa"/>
            <w:shd w:val="clear" w:color="auto" w:fill="DEEAF6" w:themeFill="accent1" w:themeFillTint="33"/>
            <w:vAlign w:val="center"/>
            <w:hideMark/>
          </w:tcPr>
          <w:p w14:paraId="306CEF09" w14:textId="77777777" w:rsidR="00EA182D" w:rsidRPr="004F3B43" w:rsidRDefault="00EA182D" w:rsidP="000601C7">
            <w:pPr>
              <w:widowControl w:val="0"/>
              <w:spacing w:line="288" w:lineRule="auto"/>
              <w:jc w:val="center"/>
              <w:rPr>
                <w:rFonts w:ascii="Arial" w:hAnsi="Arial" w:cs="Arial"/>
                <w:color w:val="000000" w:themeColor="text1"/>
                <w:sz w:val="19"/>
                <w:szCs w:val="19"/>
                <w:u w:color="000000"/>
              </w:rPr>
            </w:pPr>
            <w:proofErr w:type="spellStart"/>
            <w:r w:rsidRPr="004F3B43">
              <w:rPr>
                <w:rFonts w:ascii="Arial" w:hAnsi="Arial" w:cs="Arial"/>
                <w:b/>
                <w:bCs/>
                <w:color w:val="000000" w:themeColor="text1"/>
                <w:sz w:val="19"/>
                <w:szCs w:val="19"/>
                <w:u w:color="000000"/>
              </w:rPr>
              <w:t>P.č</w:t>
            </w:r>
            <w:proofErr w:type="spellEnd"/>
            <w:r w:rsidRPr="004F3B43">
              <w:rPr>
                <w:rFonts w:ascii="Arial" w:hAnsi="Arial" w:cs="Arial"/>
                <w:b/>
                <w:bCs/>
                <w:color w:val="000000" w:themeColor="text1"/>
                <w:sz w:val="19"/>
                <w:szCs w:val="19"/>
                <w:u w:color="000000"/>
              </w:rPr>
              <w:t>.</w:t>
            </w:r>
          </w:p>
        </w:tc>
        <w:tc>
          <w:tcPr>
            <w:tcW w:w="2224" w:type="dxa"/>
            <w:shd w:val="clear" w:color="auto" w:fill="DEEAF6" w:themeFill="accent1" w:themeFillTint="33"/>
            <w:vAlign w:val="center"/>
            <w:hideMark/>
          </w:tcPr>
          <w:p w14:paraId="5E1AFC37" w14:textId="77777777" w:rsidR="00EA182D" w:rsidRPr="004F3B43" w:rsidRDefault="00EA182D" w:rsidP="000601C7">
            <w:pPr>
              <w:widowControl w:val="0"/>
              <w:spacing w:line="288" w:lineRule="auto"/>
              <w:jc w:val="center"/>
              <w:rPr>
                <w:rFonts w:ascii="Arial" w:hAnsi="Arial" w:cs="Arial"/>
                <w:color w:val="000000" w:themeColor="text1"/>
                <w:sz w:val="19"/>
                <w:szCs w:val="19"/>
                <w:u w:color="000000"/>
              </w:rPr>
            </w:pPr>
            <w:r w:rsidRPr="004F3B43">
              <w:rPr>
                <w:rFonts w:ascii="Arial" w:hAnsi="Arial" w:cs="Arial"/>
                <w:b/>
                <w:bCs/>
                <w:color w:val="000000" w:themeColor="text1"/>
                <w:sz w:val="19"/>
                <w:szCs w:val="19"/>
                <w:u w:color="000000"/>
              </w:rPr>
              <w:t>Kritérium</w:t>
            </w:r>
          </w:p>
        </w:tc>
        <w:tc>
          <w:tcPr>
            <w:tcW w:w="5670" w:type="dxa"/>
            <w:shd w:val="clear" w:color="auto" w:fill="DEEAF6" w:themeFill="accent1" w:themeFillTint="33"/>
            <w:vAlign w:val="center"/>
            <w:hideMark/>
          </w:tcPr>
          <w:p w14:paraId="4C4AC2EA" w14:textId="77777777" w:rsidR="00EA182D" w:rsidRPr="004F3B43" w:rsidRDefault="00EA182D" w:rsidP="000601C7">
            <w:pPr>
              <w:widowControl w:val="0"/>
              <w:spacing w:line="288" w:lineRule="auto"/>
              <w:ind w:left="143" w:right="136" w:hanging="3"/>
              <w:jc w:val="center"/>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Predmet hodnotenia</w:t>
            </w:r>
          </w:p>
        </w:tc>
        <w:tc>
          <w:tcPr>
            <w:tcW w:w="1276" w:type="dxa"/>
            <w:shd w:val="clear" w:color="auto" w:fill="DEEAF6" w:themeFill="accent1" w:themeFillTint="33"/>
            <w:vAlign w:val="center"/>
            <w:hideMark/>
          </w:tcPr>
          <w:p w14:paraId="6B246B4A" w14:textId="77777777" w:rsidR="00EA182D" w:rsidRPr="004F3B43" w:rsidRDefault="00EA182D" w:rsidP="000601C7">
            <w:pPr>
              <w:widowControl w:val="0"/>
              <w:spacing w:line="288" w:lineRule="auto"/>
              <w:ind w:left="33" w:hanging="33"/>
              <w:jc w:val="center"/>
              <w:rPr>
                <w:rFonts w:ascii="Arial" w:hAnsi="Arial" w:cs="Arial"/>
                <w:color w:val="000000" w:themeColor="text1"/>
                <w:sz w:val="19"/>
                <w:szCs w:val="19"/>
                <w:u w:color="000000"/>
              </w:rPr>
            </w:pPr>
            <w:r w:rsidRPr="004F3B43">
              <w:rPr>
                <w:rFonts w:ascii="Arial" w:hAnsi="Arial" w:cs="Arial"/>
                <w:b/>
                <w:bCs/>
                <w:color w:val="000000" w:themeColor="text1"/>
                <w:sz w:val="19"/>
                <w:szCs w:val="19"/>
                <w:u w:color="000000"/>
              </w:rPr>
              <w:t>Typ kritéria</w:t>
            </w:r>
          </w:p>
        </w:tc>
        <w:tc>
          <w:tcPr>
            <w:tcW w:w="1275" w:type="dxa"/>
            <w:shd w:val="clear" w:color="auto" w:fill="DEEAF6" w:themeFill="accent1" w:themeFillTint="33"/>
            <w:vAlign w:val="center"/>
            <w:hideMark/>
          </w:tcPr>
          <w:p w14:paraId="6F34DF61" w14:textId="77777777" w:rsidR="00EA182D" w:rsidRPr="004F3B43" w:rsidRDefault="00EA182D" w:rsidP="000601C7">
            <w:pPr>
              <w:widowControl w:val="0"/>
              <w:spacing w:line="288" w:lineRule="auto"/>
              <w:jc w:val="center"/>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Hodnotenie</w:t>
            </w:r>
          </w:p>
        </w:tc>
        <w:tc>
          <w:tcPr>
            <w:tcW w:w="3970" w:type="dxa"/>
            <w:shd w:val="clear" w:color="auto" w:fill="DEEAF6" w:themeFill="accent1" w:themeFillTint="33"/>
            <w:vAlign w:val="center"/>
            <w:hideMark/>
          </w:tcPr>
          <w:p w14:paraId="5A6A82D9" w14:textId="77777777" w:rsidR="00EA182D" w:rsidRPr="004F3B43" w:rsidRDefault="00EA182D" w:rsidP="000601C7">
            <w:pPr>
              <w:widowControl w:val="0"/>
              <w:spacing w:line="288" w:lineRule="auto"/>
              <w:ind w:left="143" w:right="136" w:hanging="3"/>
              <w:jc w:val="center"/>
              <w:rPr>
                <w:rFonts w:ascii="Arial" w:hAnsi="Arial" w:cs="Arial"/>
                <w:b/>
                <w:bCs/>
                <w:color w:val="000000" w:themeColor="text1"/>
                <w:sz w:val="19"/>
                <w:szCs w:val="19"/>
                <w:u w:color="000000"/>
              </w:rPr>
            </w:pPr>
            <w:r w:rsidRPr="004F3B43">
              <w:rPr>
                <w:rFonts w:ascii="Arial" w:hAnsi="Arial" w:cs="Arial"/>
                <w:b/>
                <w:bCs/>
                <w:color w:val="000000" w:themeColor="text1"/>
                <w:sz w:val="19"/>
                <w:szCs w:val="19"/>
                <w:u w:color="000000"/>
              </w:rPr>
              <w:t>Spôsob aplikácie hodnotiaceho kritéria</w:t>
            </w:r>
          </w:p>
        </w:tc>
      </w:tr>
      <w:tr w:rsidR="00EA182D" w:rsidRPr="004F3B43" w14:paraId="49ED73E0" w14:textId="77777777" w:rsidTr="000601C7">
        <w:trPr>
          <w:trHeight w:val="1203"/>
        </w:trPr>
        <w:tc>
          <w:tcPr>
            <w:tcW w:w="606" w:type="dxa"/>
            <w:vMerge w:val="restart"/>
            <w:tcBorders>
              <w:top w:val="single" w:sz="4" w:space="0" w:color="auto"/>
              <w:left w:val="single" w:sz="4" w:space="0" w:color="auto"/>
              <w:right w:val="single" w:sz="4" w:space="0" w:color="auto"/>
            </w:tcBorders>
            <w:vAlign w:val="center"/>
          </w:tcPr>
          <w:p w14:paraId="57492C76" w14:textId="77777777" w:rsidR="00EA182D" w:rsidRPr="004F3B43" w:rsidRDefault="00EA182D" w:rsidP="000601C7">
            <w:pPr>
              <w:spacing w:line="288" w:lineRule="auto"/>
              <w:jc w:val="center"/>
              <w:rPr>
                <w:rFonts w:ascii="Arial" w:hAnsi="Arial" w:cs="Arial"/>
                <w:color w:val="000000" w:themeColor="text1"/>
                <w:sz w:val="19"/>
                <w:szCs w:val="19"/>
                <w:highlight w:val="yellow"/>
              </w:rPr>
            </w:pPr>
            <w:r w:rsidRPr="004F3B43">
              <w:rPr>
                <w:rFonts w:ascii="Arial" w:hAnsi="Arial" w:cs="Arial"/>
                <w:color w:val="000000" w:themeColor="text1"/>
                <w:sz w:val="19"/>
                <w:szCs w:val="19"/>
              </w:rPr>
              <w:t>4.2</w:t>
            </w:r>
          </w:p>
        </w:tc>
        <w:tc>
          <w:tcPr>
            <w:tcW w:w="2224" w:type="dxa"/>
            <w:vMerge w:val="restart"/>
            <w:tcBorders>
              <w:top w:val="single" w:sz="4" w:space="0" w:color="auto"/>
              <w:left w:val="single" w:sz="4" w:space="0" w:color="auto"/>
              <w:right w:val="single" w:sz="4" w:space="0" w:color="auto"/>
            </w:tcBorders>
            <w:vAlign w:val="center"/>
          </w:tcPr>
          <w:p w14:paraId="2D3B91BF" w14:textId="77777777" w:rsidR="00EA182D" w:rsidRPr="004F3B43" w:rsidRDefault="00EA182D" w:rsidP="000601C7">
            <w:pPr>
              <w:spacing w:before="60" w:after="240"/>
              <w:jc w:val="both"/>
              <w:rPr>
                <w:rFonts w:ascii="Arial" w:hAnsi="Arial" w:cs="Arial"/>
                <w:color w:val="000000" w:themeColor="text1"/>
                <w:sz w:val="19"/>
                <w:szCs w:val="19"/>
                <w:highlight w:val="yellow"/>
              </w:rPr>
            </w:pPr>
            <w:r w:rsidRPr="004F3B43">
              <w:rPr>
                <w:rFonts w:ascii="Arial" w:eastAsia="Helvetica" w:hAnsi="Arial" w:cs="Arial"/>
                <w:color w:val="000000" w:themeColor="text1"/>
                <w:sz w:val="19"/>
                <w:szCs w:val="19"/>
                <w:lang w:eastAsia="sk-SK"/>
              </w:rPr>
              <w:t>Štruktúra a správnosť rozpočtu</w:t>
            </w:r>
          </w:p>
        </w:tc>
        <w:tc>
          <w:tcPr>
            <w:tcW w:w="5670" w:type="dxa"/>
            <w:vMerge w:val="restart"/>
            <w:tcBorders>
              <w:top w:val="single" w:sz="4" w:space="0" w:color="auto"/>
              <w:left w:val="single" w:sz="4" w:space="0" w:color="auto"/>
              <w:right w:val="single" w:sz="4" w:space="0" w:color="auto"/>
            </w:tcBorders>
            <w:vAlign w:val="center"/>
          </w:tcPr>
          <w:p w14:paraId="61530EEC" w14:textId="77777777" w:rsidR="00EA182D" w:rsidRPr="004F3B43" w:rsidRDefault="00EA182D" w:rsidP="000601C7">
            <w:pPr>
              <w:spacing w:line="288" w:lineRule="auto"/>
              <w:jc w:val="both"/>
              <w:rPr>
                <w:rFonts w:ascii="Arial" w:eastAsia="Helvetica" w:hAnsi="Arial" w:cs="Arial"/>
                <w:color w:val="000000" w:themeColor="text1"/>
                <w:sz w:val="19"/>
                <w:szCs w:val="19"/>
                <w:lang w:eastAsia="sk-SK"/>
              </w:rPr>
            </w:pPr>
            <w:r w:rsidRPr="004F3B43">
              <w:rPr>
                <w:rFonts w:ascii="Arial" w:eastAsia="Helvetica" w:hAnsi="Arial" w:cs="Arial"/>
                <w:color w:val="000000" w:themeColor="text1"/>
                <w:sz w:val="19"/>
                <w:szCs w:val="19"/>
                <w:lang w:eastAsia="sk-SK"/>
              </w:rPr>
              <w:t>Posudzuje sa či sú jednotlivé výdavky zrozumiteľné, matematicky správne a vo výške 100 eur na osobu a týždeň za každý celý týždeň alebo čiastočný týždeň, v ktorom sa daná osoba nachádza v SR, v súlade s článkom 68 c) nariadenia EP a Rady (EÚ) č. 1303/2013</w:t>
            </w:r>
          </w:p>
          <w:p w14:paraId="4A7058F6" w14:textId="77777777" w:rsidR="00EA182D" w:rsidRPr="004F3B43" w:rsidRDefault="00EA182D" w:rsidP="000601C7">
            <w:pPr>
              <w:spacing w:line="288" w:lineRule="auto"/>
              <w:jc w:val="both"/>
              <w:rPr>
                <w:rFonts w:ascii="Arial" w:hAnsi="Arial" w:cs="Arial"/>
                <w:sz w:val="20"/>
                <w:szCs w:val="20"/>
              </w:rPr>
            </w:pPr>
          </w:p>
          <w:p w14:paraId="5311BE6A" w14:textId="77777777" w:rsidR="00EA182D" w:rsidRPr="004F3B43" w:rsidRDefault="00EA182D" w:rsidP="000601C7">
            <w:pPr>
              <w:spacing w:line="288" w:lineRule="auto"/>
              <w:jc w:val="both"/>
              <w:rPr>
                <w:rFonts w:ascii="Arial" w:hAnsi="Arial" w:cs="Arial"/>
                <w:color w:val="000000" w:themeColor="text1"/>
                <w:sz w:val="19"/>
                <w:szCs w:val="19"/>
              </w:rPr>
            </w:pPr>
            <w:r w:rsidRPr="004F3B43">
              <w:rPr>
                <w:rFonts w:ascii="Arial" w:eastAsia="Helvetica" w:hAnsi="Arial" w:cs="Arial"/>
                <w:color w:val="000000" w:themeColor="text1"/>
                <w:sz w:val="19"/>
                <w:szCs w:val="19"/>
                <w:lang w:eastAsia="sk-SK"/>
              </w:rPr>
              <w:t>Jednotkové náklady sa môžu využívať celkovo najviac 26 týždňov odo dňa príchodu osoby do SR</w:t>
            </w:r>
          </w:p>
        </w:tc>
        <w:tc>
          <w:tcPr>
            <w:tcW w:w="1276" w:type="dxa"/>
            <w:vMerge w:val="restart"/>
            <w:tcBorders>
              <w:top w:val="single" w:sz="4" w:space="0" w:color="auto"/>
              <w:left w:val="single" w:sz="4" w:space="0" w:color="auto"/>
              <w:right w:val="single" w:sz="4" w:space="0" w:color="auto"/>
            </w:tcBorders>
            <w:vAlign w:val="center"/>
          </w:tcPr>
          <w:p w14:paraId="6AC2DBAC"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rPr>
              <w:t>Vylučujúce kritérium</w:t>
            </w:r>
          </w:p>
        </w:tc>
        <w:tc>
          <w:tcPr>
            <w:tcW w:w="1275" w:type="dxa"/>
            <w:tcBorders>
              <w:top w:val="single" w:sz="4" w:space="0" w:color="auto"/>
              <w:left w:val="single" w:sz="4" w:space="0" w:color="auto"/>
              <w:bottom w:val="single" w:sz="4" w:space="0" w:color="auto"/>
              <w:right w:val="single" w:sz="4" w:space="0" w:color="auto"/>
            </w:tcBorders>
            <w:vAlign w:val="center"/>
          </w:tcPr>
          <w:p w14:paraId="5072364B"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u w:color="000000"/>
              </w:rPr>
              <w:t>áno</w:t>
            </w:r>
          </w:p>
        </w:tc>
        <w:tc>
          <w:tcPr>
            <w:tcW w:w="3970" w:type="dxa"/>
            <w:tcBorders>
              <w:top w:val="single" w:sz="4" w:space="0" w:color="auto"/>
              <w:left w:val="single" w:sz="4" w:space="0" w:color="auto"/>
              <w:bottom w:val="single" w:sz="4" w:space="0" w:color="auto"/>
              <w:right w:val="single" w:sz="4" w:space="0" w:color="auto"/>
            </w:tcBorders>
            <w:vAlign w:val="center"/>
          </w:tcPr>
          <w:p w14:paraId="4899A8CC" w14:textId="77777777" w:rsidR="00EA182D" w:rsidRPr="004F3B43" w:rsidRDefault="00EA182D" w:rsidP="000601C7">
            <w:pPr>
              <w:spacing w:before="60" w:after="240"/>
              <w:jc w:val="both"/>
              <w:rPr>
                <w:rFonts w:ascii="Arial" w:eastAsia="Helvetica" w:hAnsi="Arial" w:cs="Arial"/>
                <w:color w:val="000000" w:themeColor="text1"/>
                <w:sz w:val="19"/>
                <w:szCs w:val="19"/>
                <w:lang w:eastAsia="sk-SK"/>
              </w:rPr>
            </w:pPr>
            <w:r w:rsidRPr="004F3B43">
              <w:rPr>
                <w:rFonts w:ascii="Arial" w:eastAsia="Helvetica" w:hAnsi="Arial" w:cs="Arial"/>
                <w:color w:val="000000" w:themeColor="text1"/>
                <w:sz w:val="19"/>
                <w:szCs w:val="19"/>
                <w:lang w:eastAsia="sk-SK"/>
              </w:rPr>
              <w:t>Rozpočet je matematicky správny, jednotlivé položky sú  zrozumiteľné, dostatočne podrobne špecifikované a správne priradené. Údaj o počte ubytovaných utečencoch uvedený v rozpočte súhlasí s údajom, uvedenom v Registri MV SR o ubytovaných utečencoch</w:t>
            </w:r>
          </w:p>
        </w:tc>
      </w:tr>
      <w:tr w:rsidR="00EA182D" w:rsidRPr="004F3B43" w14:paraId="0913FCDB" w14:textId="77777777" w:rsidTr="000601C7">
        <w:trPr>
          <w:trHeight w:val="1263"/>
        </w:trPr>
        <w:tc>
          <w:tcPr>
            <w:tcW w:w="606" w:type="dxa"/>
            <w:vMerge/>
            <w:tcBorders>
              <w:left w:val="single" w:sz="4" w:space="0" w:color="auto"/>
              <w:right w:val="single" w:sz="4" w:space="0" w:color="auto"/>
            </w:tcBorders>
            <w:vAlign w:val="center"/>
          </w:tcPr>
          <w:p w14:paraId="35832314" w14:textId="77777777" w:rsidR="00EA182D" w:rsidRPr="004F3B43" w:rsidRDefault="00EA182D" w:rsidP="000601C7">
            <w:pPr>
              <w:spacing w:line="288" w:lineRule="auto"/>
              <w:jc w:val="center"/>
              <w:rPr>
                <w:rFonts w:ascii="Arial" w:hAnsi="Arial" w:cs="Arial"/>
                <w:color w:val="000000" w:themeColor="text1"/>
                <w:sz w:val="19"/>
                <w:szCs w:val="19"/>
                <w:highlight w:val="yellow"/>
              </w:rPr>
            </w:pPr>
          </w:p>
        </w:tc>
        <w:tc>
          <w:tcPr>
            <w:tcW w:w="2224" w:type="dxa"/>
            <w:vMerge/>
            <w:tcBorders>
              <w:left w:val="single" w:sz="4" w:space="0" w:color="auto"/>
              <w:right w:val="single" w:sz="4" w:space="0" w:color="auto"/>
            </w:tcBorders>
            <w:vAlign w:val="center"/>
          </w:tcPr>
          <w:p w14:paraId="02E593C8" w14:textId="77777777" w:rsidR="00EA182D" w:rsidRPr="004F3B43" w:rsidRDefault="00EA182D" w:rsidP="000601C7">
            <w:pPr>
              <w:spacing w:line="288" w:lineRule="auto"/>
              <w:rPr>
                <w:rFonts w:ascii="Arial" w:hAnsi="Arial" w:cs="Arial"/>
                <w:color w:val="000000" w:themeColor="text1"/>
                <w:sz w:val="19"/>
                <w:szCs w:val="19"/>
                <w:highlight w:val="yellow"/>
              </w:rPr>
            </w:pPr>
          </w:p>
        </w:tc>
        <w:tc>
          <w:tcPr>
            <w:tcW w:w="5670" w:type="dxa"/>
            <w:vMerge/>
            <w:tcBorders>
              <w:left w:val="single" w:sz="4" w:space="0" w:color="auto"/>
              <w:right w:val="single" w:sz="4" w:space="0" w:color="auto"/>
            </w:tcBorders>
            <w:vAlign w:val="center"/>
          </w:tcPr>
          <w:p w14:paraId="3C630725" w14:textId="77777777" w:rsidR="00EA182D" w:rsidRPr="004F3B43" w:rsidRDefault="00EA182D" w:rsidP="000601C7">
            <w:pPr>
              <w:spacing w:line="288" w:lineRule="auto"/>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3E15E5B8" w14:textId="77777777" w:rsidR="00EA182D" w:rsidRPr="004F3B43" w:rsidRDefault="00EA182D" w:rsidP="000601C7">
            <w:pPr>
              <w:spacing w:line="288" w:lineRule="auto"/>
              <w:jc w:val="center"/>
              <w:rPr>
                <w:rFonts w:ascii="Arial" w:hAnsi="Arial" w:cs="Arial"/>
                <w:color w:val="000000" w:themeColor="text1"/>
                <w:sz w:val="19"/>
                <w:szCs w:val="19"/>
              </w:rPr>
            </w:pPr>
          </w:p>
        </w:tc>
        <w:tc>
          <w:tcPr>
            <w:tcW w:w="1275" w:type="dxa"/>
            <w:tcBorders>
              <w:top w:val="single" w:sz="4" w:space="0" w:color="auto"/>
              <w:left w:val="single" w:sz="4" w:space="0" w:color="auto"/>
              <w:right w:val="single" w:sz="4" w:space="0" w:color="auto"/>
            </w:tcBorders>
            <w:vAlign w:val="center"/>
          </w:tcPr>
          <w:p w14:paraId="691A9510" w14:textId="77777777" w:rsidR="00EA182D" w:rsidRPr="004F3B43" w:rsidRDefault="00EA182D" w:rsidP="000601C7">
            <w:pPr>
              <w:spacing w:line="288" w:lineRule="auto"/>
              <w:jc w:val="center"/>
              <w:rPr>
                <w:rFonts w:ascii="Arial" w:hAnsi="Arial" w:cs="Arial"/>
                <w:color w:val="000000" w:themeColor="text1"/>
                <w:sz w:val="19"/>
                <w:szCs w:val="19"/>
              </w:rPr>
            </w:pPr>
            <w:r w:rsidRPr="004F3B43">
              <w:rPr>
                <w:rFonts w:ascii="Arial" w:hAnsi="Arial" w:cs="Arial"/>
                <w:color w:val="000000" w:themeColor="text1"/>
                <w:sz w:val="19"/>
                <w:szCs w:val="19"/>
                <w:u w:color="000000"/>
              </w:rPr>
              <w:t>nie</w:t>
            </w:r>
          </w:p>
        </w:tc>
        <w:tc>
          <w:tcPr>
            <w:tcW w:w="3970" w:type="dxa"/>
            <w:tcBorders>
              <w:top w:val="single" w:sz="4" w:space="0" w:color="auto"/>
              <w:left w:val="single" w:sz="4" w:space="0" w:color="auto"/>
              <w:right w:val="single" w:sz="4" w:space="0" w:color="auto"/>
            </w:tcBorders>
            <w:vAlign w:val="center"/>
          </w:tcPr>
          <w:p w14:paraId="3BD5831E" w14:textId="77777777" w:rsidR="00EA182D" w:rsidRPr="004F3B43" w:rsidRDefault="00EA182D" w:rsidP="000601C7">
            <w:pPr>
              <w:spacing w:before="60" w:after="240"/>
              <w:jc w:val="both"/>
              <w:rPr>
                <w:rFonts w:ascii="Arial" w:eastAsia="Helvetica" w:hAnsi="Arial" w:cs="Arial"/>
                <w:color w:val="000000" w:themeColor="text1"/>
                <w:sz w:val="19"/>
                <w:szCs w:val="19"/>
                <w:lang w:eastAsia="sk-SK"/>
              </w:rPr>
            </w:pPr>
            <w:r w:rsidRPr="004F3B43">
              <w:rPr>
                <w:rFonts w:ascii="Arial" w:eastAsia="Helvetica" w:hAnsi="Arial" w:cs="Arial"/>
                <w:color w:val="000000" w:themeColor="text1"/>
                <w:sz w:val="19"/>
                <w:szCs w:val="19"/>
                <w:lang w:eastAsia="sk-SK"/>
              </w:rPr>
              <w:t>Rozpočet vykazuje nedostatky v matematickej správnosti, a/alebo sú identifikované nedostatky v jednotlivých položkách, a/alebo sú identifikované nedostatky o počte ubytovaných utečencoch.</w:t>
            </w:r>
          </w:p>
        </w:tc>
      </w:tr>
    </w:tbl>
    <w:p w14:paraId="5ED800B3" w14:textId="3D4F8154" w:rsidR="00EA182D" w:rsidRPr="004F3B43" w:rsidRDefault="00EA182D" w:rsidP="00EA182D">
      <w:pPr>
        <w:spacing w:before="120" w:after="120" w:line="288" w:lineRule="auto"/>
        <w:jc w:val="both"/>
        <w:rPr>
          <w:rFonts w:ascii="Arial" w:hAnsi="Arial" w:cs="Arial"/>
          <w:color w:val="000000" w:themeColor="text1"/>
          <w:sz w:val="19"/>
          <w:szCs w:val="19"/>
        </w:rPr>
      </w:pPr>
      <w:r w:rsidRPr="004F3B43">
        <w:rPr>
          <w:rFonts w:ascii="Arial" w:hAnsi="Arial" w:cs="Arial"/>
          <w:color w:val="000000" w:themeColor="text1"/>
          <w:sz w:val="19"/>
          <w:szCs w:val="19"/>
        </w:rPr>
        <w:t>Hodnotiteľ posudzuje najmä informácie uvedené v častiach ŽoNFP: 11. Rozpočet proje</w:t>
      </w:r>
      <w:r w:rsidR="003F7125">
        <w:rPr>
          <w:rFonts w:ascii="Arial" w:hAnsi="Arial" w:cs="Arial"/>
          <w:color w:val="000000" w:themeColor="text1"/>
          <w:sz w:val="19"/>
          <w:szCs w:val="19"/>
        </w:rPr>
        <w:t>ktu, príloha Rozpočet projektu.</w:t>
      </w:r>
      <w:r w:rsidRPr="004F3B43">
        <w:rPr>
          <w:rFonts w:ascii="Arial" w:hAnsi="Arial" w:cs="Arial"/>
          <w:color w:val="000000" w:themeColor="text1"/>
          <w:sz w:val="19"/>
          <w:szCs w:val="19"/>
        </w:rPr>
        <w:t xml:space="preserve"> Príloha – Register Ministerstva vnút</w:t>
      </w:r>
      <w:r w:rsidR="003F7125">
        <w:rPr>
          <w:rFonts w:ascii="Arial" w:hAnsi="Arial" w:cs="Arial"/>
          <w:color w:val="000000" w:themeColor="text1"/>
          <w:sz w:val="19"/>
          <w:szCs w:val="19"/>
        </w:rPr>
        <w:t>ra SR o ubytovaných utečencoch.</w:t>
      </w:r>
    </w:p>
    <w:p w14:paraId="1F9FB423" w14:textId="333A8F23" w:rsidR="00EA182D" w:rsidRPr="004F3B43" w:rsidRDefault="00EA182D" w:rsidP="00EA182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F3B43">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Jednotlivé položky rozpočtu musia byť jednoznačné, zrozumiteľné a dostatočne podrobne špecifikované. Každá položka musí mať uvedenú jednotkovú cenu a merné množstvo. Výpočty celkovej ceny, medzisúčty, súčty a ďalšie matematické operácie musia byť správne. Položky rozpočtu musia byť správne priradené k skupinám oprávnených výdavkov. Odborný hodnotiteľ je povinný skontrolovať súlad údaju o počte ubytovaných utečencov, ktorý je uvedený v rozpočte ŽoNFP s údajom, uvedenom v Registri MV SR o ubytovaných utečencoch. </w:t>
      </w:r>
    </w:p>
    <w:p w14:paraId="4CCE65C6" w14:textId="77777777" w:rsidR="00EA182D" w:rsidRPr="004F3B43" w:rsidRDefault="00EA182D" w:rsidP="00EA182D">
      <w:pPr>
        <w:jc w:val="both"/>
        <w:rPr>
          <w:rFonts w:ascii="Arial" w:hAnsi="Arial" w:cs="Arial"/>
          <w:color w:val="000000" w:themeColor="text1"/>
          <w:sz w:val="19"/>
          <w:szCs w:val="19"/>
        </w:rPr>
      </w:pPr>
      <w:r w:rsidRPr="004F3B43">
        <w:rPr>
          <w:rFonts w:ascii="Arial" w:hAnsi="Arial" w:cs="Arial"/>
          <w:color w:val="000000" w:themeColor="text1"/>
          <w:sz w:val="19"/>
          <w:szCs w:val="19"/>
        </w:rPr>
        <w:t>Hodnotiteľ priradí hodnotenie  (áno/nie) v zmysle popisu spôsobu aplikácie hodnotiaceho kritéria.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Pr="004F3B43">
        <w:rPr>
          <w:rFonts w:ascii="Arial" w:hAnsi="Arial" w:cs="Arial"/>
          <w:color w:val="000000" w:themeColor="text1"/>
          <w:sz w:val="19"/>
          <w:szCs w:val="19"/>
        </w:rPr>
        <w:tab/>
      </w:r>
    </w:p>
    <w:p w14:paraId="25234C93" w14:textId="77777777" w:rsidR="00EA182D" w:rsidRPr="004F3B43" w:rsidRDefault="00EA182D" w:rsidP="00EA182D">
      <w:pPr>
        <w:spacing w:after="0" w:line="240" w:lineRule="auto"/>
        <w:jc w:val="both"/>
        <w:rPr>
          <w:rFonts w:ascii="Arial" w:hAnsi="Arial" w:cs="Arial"/>
          <w:sz w:val="19"/>
          <w:szCs w:val="19"/>
        </w:rPr>
      </w:pPr>
      <w:r w:rsidRPr="004F3B43">
        <w:rPr>
          <w:rFonts w:ascii="Arial" w:hAnsi="Arial" w:cs="Arial"/>
          <w:sz w:val="19"/>
          <w:szCs w:val="19"/>
        </w:rPr>
        <w:t>V prípade, ak odborný hodnotiteľ na základe preskúmania štruktúry a správnosti rozpočtu zistí nedostatky v matematickej správnosti, alebo ak vzniknú pochybnosti o pravdivosti alebo úplnosti údajov, zástupca RO oznámi tieto pochybnosti žiadateľovi a vyzve ho, aby sa k nim vyjadril v zmysle zákona o príspevku z EŠIF (§ 19, odsek 5) a vyzve ho na doplnenie neúplných, nesprávne uvedených matematických údajov, vysvetlenie nejasností alebo nápravu nepravdivých údajov zaslaním výzvy na doplnenie ŽoNFP.</w:t>
      </w:r>
    </w:p>
    <w:p w14:paraId="563D6F9A" w14:textId="77777777" w:rsidR="00EA182D" w:rsidRPr="004F3B43" w:rsidRDefault="00EA182D" w:rsidP="00EA182D">
      <w:pPr>
        <w:jc w:val="both"/>
        <w:rPr>
          <w:rFonts w:ascii="Arial" w:hAnsi="Arial" w:cs="Arial"/>
          <w:color w:val="000000" w:themeColor="text1"/>
          <w:sz w:val="19"/>
          <w:szCs w:val="19"/>
        </w:rPr>
      </w:pPr>
    </w:p>
    <w:p w14:paraId="0DEF5CBC" w14:textId="77777777" w:rsidR="00EA182D" w:rsidRPr="004F3B43" w:rsidRDefault="00EA182D" w:rsidP="00EA182D">
      <w:pPr>
        <w:spacing w:before="120" w:after="120" w:line="288" w:lineRule="auto"/>
        <w:jc w:val="both"/>
        <w:rPr>
          <w:rFonts w:ascii="Arial" w:hAnsi="Arial" w:cs="Arial"/>
          <w:color w:val="000000" w:themeColor="text1"/>
          <w:sz w:val="19"/>
          <w:szCs w:val="19"/>
        </w:rPr>
      </w:pPr>
    </w:p>
    <w:p w14:paraId="32C56074" w14:textId="77777777" w:rsidR="00EA182D" w:rsidRPr="004F3B43" w:rsidRDefault="00EA182D" w:rsidP="00EA182D">
      <w:pPr>
        <w:spacing w:before="120" w:after="120" w:line="288" w:lineRule="auto"/>
        <w:jc w:val="both"/>
        <w:rPr>
          <w:rFonts w:ascii="Arial" w:hAnsi="Arial" w:cs="Arial"/>
          <w:color w:val="000000" w:themeColor="text1"/>
          <w:sz w:val="19"/>
          <w:szCs w:val="19"/>
        </w:rPr>
      </w:pPr>
    </w:p>
    <w:p w14:paraId="591218E8" w14:textId="77777777" w:rsidR="00EA182D" w:rsidRPr="004F3B43" w:rsidRDefault="00EA182D" w:rsidP="00EA182D">
      <w:pPr>
        <w:spacing w:before="120" w:after="120" w:line="288" w:lineRule="auto"/>
        <w:jc w:val="both"/>
        <w:rPr>
          <w:rFonts w:ascii="Arial" w:hAnsi="Arial" w:cs="Arial"/>
          <w:color w:val="000000" w:themeColor="text1"/>
          <w:sz w:val="19"/>
          <w:szCs w:val="19"/>
        </w:rPr>
      </w:pPr>
    </w:p>
    <w:p w14:paraId="26526329" w14:textId="77777777" w:rsidR="00EA182D" w:rsidRPr="004F3B43" w:rsidRDefault="00EA182D" w:rsidP="00EA182D">
      <w:pPr>
        <w:spacing w:before="120" w:after="120" w:line="288" w:lineRule="auto"/>
        <w:jc w:val="both"/>
        <w:rPr>
          <w:rFonts w:ascii="Arial" w:hAnsi="Arial" w:cs="Arial"/>
          <w:color w:val="000000" w:themeColor="text1"/>
          <w:sz w:val="19"/>
          <w:szCs w:val="19"/>
        </w:rPr>
      </w:pPr>
    </w:p>
    <w:p w14:paraId="41B2DE6E" w14:textId="5F35E6F1" w:rsidR="00EA182D" w:rsidRDefault="00EA182D" w:rsidP="00EA182D">
      <w:pPr>
        <w:spacing w:before="120" w:after="120" w:line="288" w:lineRule="auto"/>
        <w:jc w:val="both"/>
        <w:rPr>
          <w:rFonts w:ascii="Arial" w:hAnsi="Arial" w:cs="Arial"/>
          <w:color w:val="000000" w:themeColor="text1"/>
          <w:sz w:val="19"/>
          <w:szCs w:val="19"/>
        </w:rPr>
      </w:pPr>
    </w:p>
    <w:p w14:paraId="31E99C18" w14:textId="6A1617D0" w:rsidR="00832387" w:rsidRDefault="00832387" w:rsidP="00EA182D">
      <w:pPr>
        <w:spacing w:before="120" w:after="120" w:line="288" w:lineRule="auto"/>
        <w:jc w:val="both"/>
        <w:rPr>
          <w:rFonts w:ascii="Arial" w:hAnsi="Arial" w:cs="Arial"/>
          <w:color w:val="000000" w:themeColor="text1"/>
          <w:sz w:val="19"/>
          <w:szCs w:val="19"/>
        </w:rPr>
      </w:pPr>
    </w:p>
    <w:p w14:paraId="6C9C7142" w14:textId="48B1E3FE" w:rsidR="00832387" w:rsidRDefault="00832387" w:rsidP="00EA182D">
      <w:pPr>
        <w:spacing w:before="120" w:after="120" w:line="288" w:lineRule="auto"/>
        <w:jc w:val="both"/>
        <w:rPr>
          <w:rFonts w:ascii="Arial" w:hAnsi="Arial" w:cs="Arial"/>
          <w:color w:val="000000" w:themeColor="text1"/>
          <w:sz w:val="19"/>
          <w:szCs w:val="19"/>
        </w:rPr>
      </w:pPr>
    </w:p>
    <w:p w14:paraId="060C0731" w14:textId="77777777" w:rsidR="00EA182D" w:rsidRPr="004F3B43" w:rsidRDefault="00EA182D" w:rsidP="00EA182D">
      <w:pPr>
        <w:spacing w:after="0"/>
        <w:jc w:val="both"/>
        <w:outlineLvl w:val="0"/>
        <w:rPr>
          <w:rFonts w:ascii="Arial" w:hAnsi="Arial" w:cs="Arial"/>
          <w:b/>
          <w:color w:val="000000" w:themeColor="text1"/>
          <w:sz w:val="19"/>
          <w:szCs w:val="19"/>
        </w:rPr>
      </w:pPr>
      <w:r w:rsidRPr="004F3B43">
        <w:rPr>
          <w:rFonts w:ascii="Arial" w:hAnsi="Arial" w:cs="Arial"/>
          <w:b/>
          <w:color w:val="000000" w:themeColor="text1"/>
          <w:sz w:val="24"/>
          <w:szCs w:val="24"/>
        </w:rPr>
        <w:t>Sumarizačný prehľad hodnotiacich kritérií  pre Národný projekt v rámci ŠC 9.1.</w:t>
      </w:r>
      <w:r w:rsidRPr="004F3B43">
        <w:rPr>
          <w:rFonts w:ascii="Arial" w:hAnsi="Arial" w:cs="Arial"/>
          <w:b/>
          <w:color w:val="000000" w:themeColor="text1"/>
          <w:sz w:val="19"/>
          <w:szCs w:val="19"/>
        </w:rPr>
        <w:t>:</w:t>
      </w:r>
    </w:p>
    <w:p w14:paraId="167CA57D" w14:textId="77777777" w:rsidR="00EA182D" w:rsidRPr="004F3B43" w:rsidRDefault="00EA182D" w:rsidP="00EA182D">
      <w:pPr>
        <w:spacing w:after="0"/>
        <w:jc w:val="both"/>
        <w:outlineLvl w:val="0"/>
        <w:rPr>
          <w:rFonts w:ascii="Arial" w:eastAsia="Times New Roman" w:hAnsi="Arial" w:cs="Arial"/>
          <w:b/>
          <w:color w:val="000000" w:themeColor="text1"/>
          <w:sz w:val="19"/>
          <w:szCs w:val="19"/>
          <w:lang w:eastAsia="sk-SK"/>
        </w:rPr>
      </w:pPr>
    </w:p>
    <w:tbl>
      <w:tblPr>
        <w:tblStyle w:val="TableGrid5"/>
        <w:tblW w:w="5000" w:type="pct"/>
        <w:jc w:val="center"/>
        <w:tblLook w:val="04A0" w:firstRow="1" w:lastRow="0" w:firstColumn="1" w:lastColumn="0" w:noHBand="0" w:noVBand="1"/>
      </w:tblPr>
      <w:tblGrid>
        <w:gridCol w:w="557"/>
        <w:gridCol w:w="2918"/>
        <w:gridCol w:w="8814"/>
        <w:gridCol w:w="1160"/>
        <w:gridCol w:w="1939"/>
      </w:tblGrid>
      <w:tr w:rsidR="00EA182D" w:rsidRPr="004F3B43" w14:paraId="46B52E93" w14:textId="77777777" w:rsidTr="000601C7">
        <w:trPr>
          <w:tblHeader/>
          <w:jc w:val="center"/>
        </w:trPr>
        <w:tc>
          <w:tcPr>
            <w:tcW w:w="1129" w:type="pct"/>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46E57936" w14:textId="77777777" w:rsidR="00EA182D" w:rsidRPr="004F3B43" w:rsidRDefault="00EA182D" w:rsidP="000601C7">
            <w:pPr>
              <w:rPr>
                <w:rFonts w:ascii="Arial" w:hAnsi="Arial" w:cs="Arial"/>
                <w:b/>
                <w:color w:val="FFFFFF" w:themeColor="background1"/>
                <w:sz w:val="19"/>
                <w:szCs w:val="19"/>
              </w:rPr>
            </w:pPr>
            <w:r w:rsidRPr="004F3B43">
              <w:rPr>
                <w:rFonts w:ascii="Arial" w:hAnsi="Arial" w:cs="Arial"/>
                <w:b/>
                <w:color w:val="FFFFFF" w:themeColor="background1"/>
                <w:sz w:val="19"/>
                <w:szCs w:val="19"/>
              </w:rPr>
              <w:t>Hodnotené oblasti</w:t>
            </w:r>
          </w:p>
        </w:tc>
        <w:tc>
          <w:tcPr>
            <w:tcW w:w="2864"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C67ED6C" w14:textId="77777777" w:rsidR="00EA182D" w:rsidRPr="004F3B43" w:rsidRDefault="00EA182D" w:rsidP="000601C7">
            <w:pPr>
              <w:rPr>
                <w:rFonts w:ascii="Arial" w:hAnsi="Arial" w:cs="Arial"/>
                <w:b/>
                <w:color w:val="FFFFFF" w:themeColor="background1"/>
                <w:sz w:val="19"/>
                <w:szCs w:val="19"/>
              </w:rPr>
            </w:pPr>
            <w:r w:rsidRPr="004F3B43">
              <w:rPr>
                <w:rFonts w:ascii="Arial" w:hAnsi="Arial" w:cs="Arial"/>
                <w:b/>
                <w:color w:val="FFFFFF" w:themeColor="background1"/>
                <w:sz w:val="19"/>
                <w:szCs w:val="19"/>
              </w:rPr>
              <w:t>Hodnotiace kritériá</w:t>
            </w:r>
          </w:p>
        </w:tc>
        <w:tc>
          <w:tcPr>
            <w:tcW w:w="377"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A0C3C25" w14:textId="77777777" w:rsidR="00EA182D" w:rsidRPr="004F3B43" w:rsidRDefault="00EA182D" w:rsidP="000601C7">
            <w:pPr>
              <w:jc w:val="center"/>
              <w:rPr>
                <w:rFonts w:ascii="Arial" w:hAnsi="Arial" w:cs="Arial"/>
                <w:b/>
                <w:color w:val="FFFFFF" w:themeColor="background1"/>
                <w:sz w:val="19"/>
                <w:szCs w:val="19"/>
              </w:rPr>
            </w:pPr>
            <w:r w:rsidRPr="004F3B43">
              <w:rPr>
                <w:rFonts w:ascii="Arial" w:hAnsi="Arial" w:cs="Arial"/>
                <w:b/>
                <w:color w:val="FFFFFF" w:themeColor="background1"/>
                <w:sz w:val="19"/>
                <w:szCs w:val="19"/>
              </w:rPr>
              <w:t>Typ kritéria</w:t>
            </w:r>
          </w:p>
        </w:tc>
        <w:tc>
          <w:tcPr>
            <w:tcW w:w="630"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726C57A4" w14:textId="77777777" w:rsidR="00EA182D" w:rsidRPr="004F3B43" w:rsidRDefault="00EA182D" w:rsidP="000601C7">
            <w:pPr>
              <w:jc w:val="center"/>
              <w:rPr>
                <w:rFonts w:ascii="Arial" w:hAnsi="Arial" w:cs="Arial"/>
                <w:b/>
                <w:color w:val="FFFFFF" w:themeColor="background1"/>
                <w:sz w:val="19"/>
                <w:szCs w:val="19"/>
              </w:rPr>
            </w:pPr>
            <w:r w:rsidRPr="004F3B43">
              <w:rPr>
                <w:rFonts w:ascii="Arial" w:hAnsi="Arial" w:cs="Arial"/>
                <w:b/>
                <w:color w:val="FFFFFF" w:themeColor="background1"/>
                <w:sz w:val="19"/>
                <w:szCs w:val="19"/>
              </w:rPr>
              <w:t>Hodnotenie/</w:t>
            </w:r>
          </w:p>
          <w:p w14:paraId="416B269D" w14:textId="77777777" w:rsidR="00EA182D" w:rsidRPr="004F3B43" w:rsidRDefault="00EA182D" w:rsidP="000601C7">
            <w:pPr>
              <w:jc w:val="center"/>
              <w:rPr>
                <w:rFonts w:ascii="Arial" w:hAnsi="Arial" w:cs="Arial"/>
                <w:b/>
                <w:color w:val="FFFFFF" w:themeColor="background1"/>
                <w:sz w:val="19"/>
                <w:szCs w:val="19"/>
              </w:rPr>
            </w:pPr>
            <w:r w:rsidRPr="004F3B43">
              <w:rPr>
                <w:rFonts w:ascii="Arial" w:hAnsi="Arial" w:cs="Arial"/>
                <w:b/>
                <w:color w:val="FFFFFF" w:themeColor="background1"/>
                <w:sz w:val="19"/>
                <w:szCs w:val="19"/>
              </w:rPr>
              <w:t>bodová škála</w:t>
            </w:r>
          </w:p>
        </w:tc>
      </w:tr>
      <w:tr w:rsidR="00EA182D" w:rsidRPr="004F3B43" w14:paraId="37A79BA7" w14:textId="77777777" w:rsidTr="000601C7">
        <w:trPr>
          <w:trHeight w:hRule="exact" w:val="1123"/>
          <w:jc w:val="center"/>
        </w:trPr>
        <w:tc>
          <w:tcPr>
            <w:tcW w:w="181" w:type="pct"/>
            <w:tcBorders>
              <w:top w:val="single" w:sz="4" w:space="0" w:color="auto"/>
              <w:left w:val="single" w:sz="4" w:space="0" w:color="auto"/>
              <w:right w:val="single" w:sz="4" w:space="0" w:color="auto"/>
            </w:tcBorders>
            <w:shd w:val="clear" w:color="auto" w:fill="DEEAF6" w:themeFill="accent1" w:themeFillTint="33"/>
            <w:vAlign w:val="center"/>
          </w:tcPr>
          <w:p w14:paraId="2FC89991" w14:textId="77777777" w:rsidR="00EA182D" w:rsidRPr="004F3B43" w:rsidRDefault="00EA182D" w:rsidP="000601C7">
            <w:pPr>
              <w:jc w:val="center"/>
              <w:rPr>
                <w:rFonts w:ascii="Arial" w:hAnsi="Arial" w:cs="Arial"/>
                <w:b/>
                <w:color w:val="323E4F" w:themeColor="text2" w:themeShade="BF"/>
                <w:sz w:val="19"/>
                <w:szCs w:val="19"/>
              </w:rPr>
            </w:pPr>
            <w:r w:rsidRPr="004F3B43">
              <w:rPr>
                <w:rFonts w:ascii="Arial" w:hAnsi="Arial" w:cs="Arial"/>
                <w:b/>
                <w:color w:val="323E4F" w:themeColor="text2" w:themeShade="BF"/>
                <w:sz w:val="19"/>
                <w:szCs w:val="19"/>
              </w:rPr>
              <w:t>1.</w:t>
            </w:r>
          </w:p>
        </w:tc>
        <w:tc>
          <w:tcPr>
            <w:tcW w:w="948" w:type="pct"/>
            <w:tcBorders>
              <w:top w:val="single" w:sz="4" w:space="0" w:color="auto"/>
              <w:left w:val="single" w:sz="4" w:space="0" w:color="auto"/>
              <w:right w:val="single" w:sz="4" w:space="0" w:color="auto"/>
            </w:tcBorders>
            <w:shd w:val="clear" w:color="auto" w:fill="DEEAF6" w:themeFill="accent1" w:themeFillTint="33"/>
            <w:vAlign w:val="center"/>
          </w:tcPr>
          <w:p w14:paraId="3DB81330" w14:textId="77777777" w:rsidR="00EA182D" w:rsidRPr="004F3B43" w:rsidRDefault="00EA182D" w:rsidP="000601C7">
            <w:pPr>
              <w:rPr>
                <w:rFonts w:ascii="Arial" w:hAnsi="Arial" w:cs="Arial"/>
                <w:color w:val="323E4F" w:themeColor="text2" w:themeShade="BF"/>
                <w:sz w:val="19"/>
                <w:szCs w:val="19"/>
              </w:rPr>
            </w:pPr>
            <w:r w:rsidRPr="004F3B43">
              <w:rPr>
                <w:rFonts w:ascii="Arial" w:hAnsi="Arial" w:cs="Arial"/>
                <w:color w:val="323E4F" w:themeColor="text2" w:themeShade="BF"/>
                <w:sz w:val="19"/>
                <w:szCs w:val="19"/>
              </w:rPr>
              <w:t>Príspevok navrhovaného projektu k cieľom a výsledkom IROP a PO 9</w:t>
            </w:r>
          </w:p>
        </w:tc>
        <w:tc>
          <w:tcPr>
            <w:tcW w:w="2864" w:type="pct"/>
            <w:tcBorders>
              <w:top w:val="single" w:sz="4" w:space="0" w:color="auto"/>
              <w:left w:val="single" w:sz="4" w:space="0" w:color="auto"/>
              <w:bottom w:val="single" w:sz="4" w:space="0" w:color="auto"/>
              <w:right w:val="single" w:sz="4" w:space="0" w:color="auto"/>
            </w:tcBorders>
            <w:vAlign w:val="center"/>
          </w:tcPr>
          <w:p w14:paraId="59C4E52A" w14:textId="77777777" w:rsidR="00EA182D" w:rsidRPr="004F3B43" w:rsidRDefault="00EA182D" w:rsidP="000601C7">
            <w:pPr>
              <w:ind w:left="323" w:hanging="323"/>
              <w:rPr>
                <w:rFonts w:ascii="Arial" w:hAnsi="Arial" w:cs="Arial"/>
                <w:color w:val="000000" w:themeColor="text1"/>
                <w:sz w:val="19"/>
                <w:szCs w:val="19"/>
              </w:rPr>
            </w:pPr>
            <w:r w:rsidRPr="004F3B43">
              <w:rPr>
                <w:rFonts w:ascii="Arial" w:hAnsi="Arial" w:cs="Arial"/>
                <w:color w:val="000000" w:themeColor="text1"/>
                <w:sz w:val="19"/>
                <w:szCs w:val="19"/>
              </w:rPr>
              <w:t xml:space="preserve">1.1 Súlad projektu s intervenčnou stratégiou IROP </w:t>
            </w:r>
          </w:p>
        </w:tc>
        <w:tc>
          <w:tcPr>
            <w:tcW w:w="377" w:type="pct"/>
            <w:tcBorders>
              <w:top w:val="single" w:sz="4" w:space="0" w:color="auto"/>
              <w:left w:val="single" w:sz="4" w:space="0" w:color="auto"/>
              <w:bottom w:val="single" w:sz="4" w:space="0" w:color="auto"/>
              <w:right w:val="single" w:sz="4" w:space="0" w:color="auto"/>
            </w:tcBorders>
            <w:vAlign w:val="center"/>
          </w:tcPr>
          <w:p w14:paraId="71985618" w14:textId="77777777" w:rsidR="00EA182D" w:rsidRPr="004F3B43" w:rsidRDefault="00EA182D" w:rsidP="000601C7">
            <w:pPr>
              <w:ind w:right="-40"/>
              <w:jc w:val="center"/>
              <w:rPr>
                <w:rFonts w:ascii="Arial" w:hAnsi="Arial" w:cs="Arial"/>
                <w:color w:val="000000" w:themeColor="text1"/>
                <w:sz w:val="19"/>
                <w:szCs w:val="19"/>
              </w:rPr>
            </w:pPr>
            <w:r w:rsidRPr="004F3B43">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tcPr>
          <w:p w14:paraId="7C2BCEC0" w14:textId="77777777" w:rsidR="00EA182D" w:rsidRPr="004F3B43" w:rsidRDefault="00EA182D" w:rsidP="000601C7">
            <w:pPr>
              <w:ind w:right="-42"/>
              <w:jc w:val="center"/>
              <w:rPr>
                <w:rFonts w:ascii="Arial" w:hAnsi="Arial" w:cs="Arial"/>
                <w:color w:val="000000" w:themeColor="text1"/>
                <w:sz w:val="19"/>
                <w:szCs w:val="19"/>
              </w:rPr>
            </w:pPr>
            <w:r w:rsidRPr="004F3B43">
              <w:rPr>
                <w:rFonts w:ascii="Arial" w:hAnsi="Arial" w:cs="Arial"/>
                <w:color w:val="000000" w:themeColor="text1"/>
                <w:sz w:val="19"/>
                <w:szCs w:val="19"/>
              </w:rPr>
              <w:t>áno/nie</w:t>
            </w:r>
          </w:p>
        </w:tc>
      </w:tr>
      <w:tr w:rsidR="00EA182D" w:rsidRPr="004F3B43" w14:paraId="1BBEC55D" w14:textId="77777777" w:rsidTr="000601C7">
        <w:trPr>
          <w:trHeight w:hRule="exact" w:val="903"/>
          <w:jc w:val="center"/>
        </w:trPr>
        <w:tc>
          <w:tcPr>
            <w:tcW w:w="18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0B31E8" w14:textId="77777777" w:rsidR="00EA182D" w:rsidRPr="004F3B43" w:rsidRDefault="00EA182D" w:rsidP="000601C7">
            <w:pPr>
              <w:jc w:val="center"/>
              <w:rPr>
                <w:rFonts w:ascii="Arial" w:hAnsi="Arial" w:cs="Arial"/>
                <w:b/>
                <w:color w:val="323E4F" w:themeColor="text2" w:themeShade="BF"/>
                <w:sz w:val="19"/>
                <w:szCs w:val="19"/>
              </w:rPr>
            </w:pPr>
            <w:r w:rsidRPr="004F3B43">
              <w:rPr>
                <w:rFonts w:ascii="Arial" w:hAnsi="Arial" w:cs="Arial"/>
                <w:b/>
                <w:color w:val="323E4F" w:themeColor="text2" w:themeShade="BF"/>
                <w:sz w:val="19"/>
                <w:szCs w:val="19"/>
              </w:rPr>
              <w:t>2.</w:t>
            </w:r>
          </w:p>
        </w:tc>
        <w:tc>
          <w:tcPr>
            <w:tcW w:w="94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865BC3" w14:textId="77777777" w:rsidR="00EA182D" w:rsidRPr="004F3B43" w:rsidRDefault="00EA182D" w:rsidP="000601C7">
            <w:pPr>
              <w:rPr>
                <w:rFonts w:ascii="Arial" w:hAnsi="Arial" w:cs="Arial"/>
                <w:color w:val="323E4F" w:themeColor="text2" w:themeShade="BF"/>
                <w:sz w:val="19"/>
                <w:szCs w:val="19"/>
              </w:rPr>
            </w:pPr>
            <w:r w:rsidRPr="004F3B43">
              <w:rPr>
                <w:rFonts w:ascii="Arial" w:hAnsi="Arial" w:cs="Arial"/>
                <w:color w:val="323E4F" w:themeColor="text2" w:themeShade="BF"/>
                <w:sz w:val="19"/>
                <w:szCs w:val="19"/>
              </w:rPr>
              <w:t>Navrhovaný spôsob realizácie projektu</w:t>
            </w:r>
          </w:p>
        </w:tc>
        <w:tc>
          <w:tcPr>
            <w:tcW w:w="2864" w:type="pct"/>
            <w:tcBorders>
              <w:top w:val="single" w:sz="4" w:space="0" w:color="auto"/>
              <w:left w:val="single" w:sz="4" w:space="0" w:color="auto"/>
              <w:bottom w:val="single" w:sz="4" w:space="0" w:color="auto"/>
              <w:right w:val="single" w:sz="4" w:space="0" w:color="auto"/>
            </w:tcBorders>
            <w:vAlign w:val="center"/>
          </w:tcPr>
          <w:p w14:paraId="397B1072" w14:textId="4177FD3C" w:rsidR="00EA182D" w:rsidRPr="004F3B43" w:rsidRDefault="00EA182D" w:rsidP="000601C7">
            <w:pPr>
              <w:rPr>
                <w:rFonts w:ascii="Arial" w:hAnsi="Arial" w:cs="Arial"/>
                <w:color w:val="000000" w:themeColor="text1"/>
                <w:sz w:val="19"/>
                <w:szCs w:val="19"/>
              </w:rPr>
            </w:pPr>
            <w:r w:rsidRPr="004F3B43">
              <w:rPr>
                <w:rFonts w:ascii="Arial" w:hAnsi="Arial" w:cs="Arial"/>
                <w:color w:val="000000" w:themeColor="text1"/>
                <w:sz w:val="19"/>
                <w:szCs w:val="19"/>
              </w:rPr>
              <w:t xml:space="preserve">2.1 Vhodnosť a prepojenosť navrhovaných aktivít projektu </w:t>
            </w:r>
            <w:r w:rsidR="00C7290B">
              <w:rPr>
                <w:rFonts w:ascii="Arial" w:hAnsi="Arial" w:cs="Arial"/>
                <w:color w:val="000000" w:themeColor="text1"/>
                <w:sz w:val="19"/>
                <w:szCs w:val="19"/>
              </w:rPr>
              <w:t xml:space="preserve">(vrátane podaktivít) </w:t>
            </w:r>
            <w:r w:rsidRPr="004F3B43">
              <w:rPr>
                <w:rFonts w:ascii="Arial" w:hAnsi="Arial" w:cs="Arial"/>
                <w:color w:val="000000" w:themeColor="text1"/>
                <w:sz w:val="19"/>
                <w:szCs w:val="19"/>
              </w:rPr>
              <w:t>vo vzťahu k východiskovej situácii a k stanoveným cieľom projektu</w:t>
            </w:r>
          </w:p>
        </w:tc>
        <w:tc>
          <w:tcPr>
            <w:tcW w:w="377" w:type="pct"/>
            <w:tcBorders>
              <w:top w:val="single" w:sz="4" w:space="0" w:color="auto"/>
              <w:left w:val="single" w:sz="4" w:space="0" w:color="auto"/>
              <w:bottom w:val="single" w:sz="4" w:space="0" w:color="auto"/>
              <w:right w:val="single" w:sz="4" w:space="0" w:color="auto"/>
            </w:tcBorders>
            <w:vAlign w:val="center"/>
          </w:tcPr>
          <w:p w14:paraId="4132BFA1"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tcPr>
          <w:p w14:paraId="52EE51A3"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áno/nie</w:t>
            </w:r>
          </w:p>
        </w:tc>
      </w:tr>
      <w:tr w:rsidR="00EA182D" w:rsidRPr="004F3B43" w14:paraId="35F46F93" w14:textId="77777777" w:rsidTr="000601C7">
        <w:trPr>
          <w:trHeight w:hRule="exact" w:val="910"/>
          <w:jc w:val="center"/>
        </w:trPr>
        <w:tc>
          <w:tcPr>
            <w:tcW w:w="18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A650E3" w14:textId="77777777" w:rsidR="00EA182D" w:rsidRPr="004F3B43" w:rsidRDefault="00EA182D" w:rsidP="000601C7">
            <w:pPr>
              <w:jc w:val="center"/>
              <w:rPr>
                <w:rFonts w:ascii="Arial" w:hAnsi="Arial" w:cs="Arial"/>
                <w:b/>
                <w:color w:val="323E4F" w:themeColor="text2" w:themeShade="BF"/>
                <w:sz w:val="19"/>
                <w:szCs w:val="19"/>
              </w:rPr>
            </w:pPr>
            <w:r w:rsidRPr="004F3B43">
              <w:rPr>
                <w:rFonts w:ascii="Arial" w:hAnsi="Arial" w:cs="Arial"/>
                <w:b/>
                <w:color w:val="323E4F" w:themeColor="text2" w:themeShade="BF"/>
                <w:sz w:val="19"/>
                <w:szCs w:val="19"/>
              </w:rPr>
              <w:t>3.</w:t>
            </w:r>
          </w:p>
        </w:tc>
        <w:tc>
          <w:tcPr>
            <w:tcW w:w="94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79CE9D" w14:textId="77777777" w:rsidR="00EA182D" w:rsidRPr="004F3B43" w:rsidRDefault="00EA182D" w:rsidP="000601C7">
            <w:pPr>
              <w:rPr>
                <w:rFonts w:ascii="Arial" w:hAnsi="Arial" w:cs="Arial"/>
                <w:color w:val="323E4F" w:themeColor="text2" w:themeShade="BF"/>
                <w:sz w:val="19"/>
                <w:szCs w:val="19"/>
              </w:rPr>
            </w:pPr>
            <w:r w:rsidRPr="004F3B43">
              <w:rPr>
                <w:rFonts w:ascii="Arial" w:hAnsi="Arial" w:cs="Arial"/>
                <w:color w:val="323E4F" w:themeColor="text2" w:themeShade="BF"/>
                <w:sz w:val="19"/>
                <w:szCs w:val="19"/>
              </w:rPr>
              <w:t>Administratívna a prevádzková kapacita žiadateľa</w:t>
            </w:r>
          </w:p>
        </w:tc>
        <w:tc>
          <w:tcPr>
            <w:tcW w:w="2864" w:type="pct"/>
            <w:tcBorders>
              <w:top w:val="single" w:sz="4" w:space="0" w:color="auto"/>
              <w:left w:val="single" w:sz="4" w:space="0" w:color="auto"/>
              <w:bottom w:val="single" w:sz="4" w:space="0" w:color="auto"/>
              <w:right w:val="single" w:sz="4" w:space="0" w:color="auto"/>
            </w:tcBorders>
            <w:vAlign w:val="center"/>
          </w:tcPr>
          <w:p w14:paraId="66F80EB6" w14:textId="77777777" w:rsidR="00EA182D" w:rsidRPr="004F3B43" w:rsidRDefault="00EA182D" w:rsidP="000601C7">
            <w:pPr>
              <w:rPr>
                <w:rFonts w:ascii="Arial" w:hAnsi="Arial" w:cs="Arial"/>
                <w:color w:val="000000" w:themeColor="text1"/>
                <w:sz w:val="19"/>
                <w:szCs w:val="19"/>
              </w:rPr>
            </w:pPr>
            <w:r w:rsidRPr="004F3B43">
              <w:rPr>
                <w:rFonts w:ascii="Arial" w:hAnsi="Arial" w:cs="Arial"/>
                <w:color w:val="000000" w:themeColor="text1"/>
                <w:sz w:val="19"/>
                <w:szCs w:val="19"/>
              </w:rPr>
              <w:t>3.1 Posúdenie administratívnych kapacít žiadateľa na riadenie a realizáciu projektu</w:t>
            </w:r>
          </w:p>
        </w:tc>
        <w:tc>
          <w:tcPr>
            <w:tcW w:w="377" w:type="pct"/>
            <w:tcBorders>
              <w:top w:val="single" w:sz="4" w:space="0" w:color="auto"/>
              <w:left w:val="single" w:sz="4" w:space="0" w:color="auto"/>
              <w:bottom w:val="single" w:sz="4" w:space="0" w:color="auto"/>
              <w:right w:val="single" w:sz="4" w:space="0" w:color="auto"/>
            </w:tcBorders>
            <w:vAlign w:val="center"/>
            <w:hideMark/>
          </w:tcPr>
          <w:p w14:paraId="555951DE"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hideMark/>
          </w:tcPr>
          <w:p w14:paraId="5EA68976"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áno/nie</w:t>
            </w:r>
          </w:p>
        </w:tc>
      </w:tr>
      <w:tr w:rsidR="00EA182D" w:rsidRPr="004F3B43" w14:paraId="5ECA44F0" w14:textId="77777777" w:rsidTr="000601C7">
        <w:trPr>
          <w:trHeight w:hRule="exact" w:val="505"/>
          <w:jc w:val="center"/>
        </w:trPr>
        <w:tc>
          <w:tcPr>
            <w:tcW w:w="181"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692FF8" w14:textId="77777777" w:rsidR="00EA182D" w:rsidRPr="004F3B43" w:rsidRDefault="00EA182D" w:rsidP="000601C7">
            <w:pPr>
              <w:jc w:val="center"/>
              <w:rPr>
                <w:rFonts w:ascii="Arial" w:hAnsi="Arial" w:cs="Arial"/>
                <w:b/>
                <w:color w:val="323E4F" w:themeColor="text2" w:themeShade="BF"/>
                <w:sz w:val="19"/>
                <w:szCs w:val="19"/>
              </w:rPr>
            </w:pPr>
            <w:r w:rsidRPr="004F3B43">
              <w:rPr>
                <w:rFonts w:ascii="Arial" w:hAnsi="Arial" w:cs="Arial"/>
                <w:b/>
                <w:color w:val="323E4F" w:themeColor="text2" w:themeShade="BF"/>
                <w:sz w:val="19"/>
                <w:szCs w:val="19"/>
              </w:rPr>
              <w:t>4.</w:t>
            </w:r>
          </w:p>
        </w:tc>
        <w:tc>
          <w:tcPr>
            <w:tcW w:w="948"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622791" w14:textId="77777777" w:rsidR="00EA182D" w:rsidRPr="004F3B43" w:rsidRDefault="00EA182D" w:rsidP="000601C7">
            <w:pPr>
              <w:rPr>
                <w:rFonts w:ascii="Arial" w:hAnsi="Arial" w:cs="Arial"/>
                <w:color w:val="323E4F" w:themeColor="text2" w:themeShade="BF"/>
                <w:sz w:val="19"/>
                <w:szCs w:val="19"/>
              </w:rPr>
            </w:pPr>
            <w:r w:rsidRPr="004F3B43">
              <w:rPr>
                <w:rFonts w:ascii="Arial" w:hAnsi="Arial" w:cs="Arial"/>
                <w:color w:val="323E4F" w:themeColor="text2" w:themeShade="BF"/>
                <w:sz w:val="19"/>
                <w:szCs w:val="19"/>
              </w:rPr>
              <w:t>Finančná a ekonomická stránka projektu</w:t>
            </w:r>
          </w:p>
        </w:tc>
        <w:tc>
          <w:tcPr>
            <w:tcW w:w="2864" w:type="pct"/>
            <w:tcBorders>
              <w:top w:val="single" w:sz="4" w:space="0" w:color="auto"/>
              <w:left w:val="single" w:sz="4" w:space="0" w:color="auto"/>
              <w:bottom w:val="single" w:sz="4" w:space="0" w:color="auto"/>
              <w:right w:val="single" w:sz="4" w:space="0" w:color="auto"/>
            </w:tcBorders>
            <w:vAlign w:val="center"/>
          </w:tcPr>
          <w:p w14:paraId="1B94C3DD" w14:textId="77777777" w:rsidR="00EA182D" w:rsidRPr="004F3B43" w:rsidRDefault="00EA182D" w:rsidP="000601C7">
            <w:pPr>
              <w:rPr>
                <w:rFonts w:ascii="Arial" w:hAnsi="Arial" w:cs="Arial"/>
                <w:color w:val="000000" w:themeColor="text1"/>
                <w:sz w:val="19"/>
                <w:szCs w:val="19"/>
              </w:rPr>
            </w:pPr>
            <w:r w:rsidRPr="004F3B43">
              <w:rPr>
                <w:rFonts w:ascii="Arial" w:hAnsi="Arial" w:cs="Arial"/>
                <w:color w:val="000000" w:themeColor="text1"/>
                <w:sz w:val="19"/>
                <w:szCs w:val="19"/>
              </w:rPr>
              <w:t>4.1 Vecná oprávnenosť výdavkov projektu - obsahová oprávnenosť, účelnosť a účinnosť</w:t>
            </w:r>
          </w:p>
        </w:tc>
        <w:tc>
          <w:tcPr>
            <w:tcW w:w="377" w:type="pct"/>
            <w:tcBorders>
              <w:top w:val="single" w:sz="4" w:space="0" w:color="auto"/>
              <w:left w:val="single" w:sz="4" w:space="0" w:color="auto"/>
              <w:bottom w:val="single" w:sz="4" w:space="0" w:color="auto"/>
              <w:right w:val="single" w:sz="4" w:space="0" w:color="auto"/>
            </w:tcBorders>
          </w:tcPr>
          <w:p w14:paraId="352AB520"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tcPr>
          <w:p w14:paraId="42735D2C"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áno/nie</w:t>
            </w:r>
          </w:p>
        </w:tc>
      </w:tr>
      <w:tr w:rsidR="00EA182D" w:rsidRPr="004F3B43" w14:paraId="58EE8BC7" w14:textId="77777777" w:rsidTr="000601C7">
        <w:trPr>
          <w:trHeight w:hRule="exact" w:val="582"/>
          <w:jc w:val="center"/>
        </w:trPr>
        <w:tc>
          <w:tcPr>
            <w:tcW w:w="181" w:type="pct"/>
            <w:vMerge/>
            <w:tcBorders>
              <w:top w:val="single" w:sz="4" w:space="0" w:color="auto"/>
              <w:left w:val="single" w:sz="4" w:space="0" w:color="auto"/>
              <w:bottom w:val="single" w:sz="4" w:space="0" w:color="auto"/>
              <w:right w:val="single" w:sz="4" w:space="0" w:color="auto"/>
            </w:tcBorders>
            <w:vAlign w:val="center"/>
            <w:hideMark/>
          </w:tcPr>
          <w:p w14:paraId="10C390DE" w14:textId="77777777" w:rsidR="00EA182D" w:rsidRPr="004F3B43" w:rsidRDefault="00EA182D" w:rsidP="000601C7">
            <w:pPr>
              <w:rPr>
                <w:rFonts w:ascii="Arial" w:hAnsi="Arial" w:cs="Arial"/>
                <w:color w:val="000000" w:themeColor="text1"/>
                <w:sz w:val="19"/>
                <w:szCs w:val="19"/>
              </w:rPr>
            </w:pPr>
          </w:p>
        </w:tc>
        <w:tc>
          <w:tcPr>
            <w:tcW w:w="948" w:type="pct"/>
            <w:vMerge/>
            <w:tcBorders>
              <w:top w:val="single" w:sz="4" w:space="0" w:color="auto"/>
              <w:left w:val="single" w:sz="4" w:space="0" w:color="auto"/>
              <w:bottom w:val="single" w:sz="4" w:space="0" w:color="auto"/>
              <w:right w:val="single" w:sz="4" w:space="0" w:color="auto"/>
            </w:tcBorders>
            <w:vAlign w:val="center"/>
          </w:tcPr>
          <w:p w14:paraId="39995AC8" w14:textId="77777777" w:rsidR="00EA182D" w:rsidRPr="004F3B43" w:rsidRDefault="00EA182D" w:rsidP="000601C7">
            <w:pPr>
              <w:rPr>
                <w:rFonts w:ascii="Arial" w:hAnsi="Arial" w:cs="Arial"/>
                <w:color w:val="000000" w:themeColor="text1"/>
                <w:sz w:val="19"/>
                <w:szCs w:val="19"/>
              </w:rPr>
            </w:pPr>
          </w:p>
        </w:tc>
        <w:tc>
          <w:tcPr>
            <w:tcW w:w="2864" w:type="pct"/>
            <w:tcBorders>
              <w:top w:val="single" w:sz="4" w:space="0" w:color="auto"/>
              <w:left w:val="single" w:sz="4" w:space="0" w:color="auto"/>
              <w:bottom w:val="single" w:sz="4" w:space="0" w:color="auto"/>
              <w:right w:val="single" w:sz="4" w:space="0" w:color="auto"/>
            </w:tcBorders>
            <w:vAlign w:val="center"/>
          </w:tcPr>
          <w:p w14:paraId="4B3C8518" w14:textId="77777777" w:rsidR="00EA182D" w:rsidRPr="004F3B43" w:rsidRDefault="00EA182D" w:rsidP="000601C7">
            <w:pPr>
              <w:rPr>
                <w:rFonts w:ascii="Arial" w:hAnsi="Arial" w:cs="Arial"/>
                <w:color w:val="000000" w:themeColor="text1"/>
                <w:sz w:val="19"/>
                <w:szCs w:val="19"/>
              </w:rPr>
            </w:pPr>
            <w:r w:rsidRPr="004F3B43">
              <w:rPr>
                <w:rFonts w:ascii="Arial" w:hAnsi="Arial" w:cs="Arial"/>
                <w:color w:val="000000" w:themeColor="text1"/>
                <w:sz w:val="19"/>
                <w:szCs w:val="19"/>
              </w:rPr>
              <w:t xml:space="preserve">4.2 </w:t>
            </w:r>
            <w:r w:rsidRPr="004F3B43">
              <w:rPr>
                <w:rFonts w:ascii="Arial" w:eastAsia="Helvetica" w:hAnsi="Arial" w:cs="Arial"/>
                <w:color w:val="000000" w:themeColor="text1"/>
                <w:sz w:val="19"/>
                <w:szCs w:val="19"/>
                <w:lang w:eastAsia="sk-SK"/>
              </w:rPr>
              <w:t>Štruktúra a správnosť rozpočtu</w:t>
            </w:r>
          </w:p>
        </w:tc>
        <w:tc>
          <w:tcPr>
            <w:tcW w:w="377" w:type="pct"/>
            <w:tcBorders>
              <w:top w:val="single" w:sz="4" w:space="0" w:color="auto"/>
              <w:left w:val="single" w:sz="4" w:space="0" w:color="auto"/>
              <w:bottom w:val="single" w:sz="4" w:space="0" w:color="auto"/>
              <w:right w:val="single" w:sz="4" w:space="0" w:color="auto"/>
            </w:tcBorders>
            <w:vAlign w:val="center"/>
          </w:tcPr>
          <w:p w14:paraId="6BCACCC6"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Vylučujúce</w:t>
            </w:r>
          </w:p>
        </w:tc>
        <w:tc>
          <w:tcPr>
            <w:tcW w:w="630" w:type="pct"/>
            <w:tcBorders>
              <w:top w:val="single" w:sz="4" w:space="0" w:color="auto"/>
              <w:left w:val="single" w:sz="4" w:space="0" w:color="auto"/>
              <w:bottom w:val="single" w:sz="4" w:space="0" w:color="auto"/>
              <w:right w:val="single" w:sz="4" w:space="0" w:color="auto"/>
            </w:tcBorders>
            <w:vAlign w:val="center"/>
          </w:tcPr>
          <w:p w14:paraId="5E1EA6B6" w14:textId="77777777" w:rsidR="00EA182D" w:rsidRPr="004F3B43" w:rsidRDefault="00EA182D" w:rsidP="000601C7">
            <w:pPr>
              <w:jc w:val="center"/>
              <w:rPr>
                <w:rFonts w:ascii="Arial" w:hAnsi="Arial" w:cs="Arial"/>
                <w:color w:val="000000" w:themeColor="text1"/>
                <w:sz w:val="19"/>
                <w:szCs w:val="19"/>
              </w:rPr>
            </w:pPr>
            <w:r w:rsidRPr="004F3B43">
              <w:rPr>
                <w:rFonts w:ascii="Arial" w:hAnsi="Arial" w:cs="Arial"/>
                <w:color w:val="000000" w:themeColor="text1"/>
                <w:sz w:val="19"/>
                <w:szCs w:val="19"/>
              </w:rPr>
              <w:t>áno/nie</w:t>
            </w:r>
          </w:p>
        </w:tc>
      </w:tr>
      <w:tr w:rsidR="00EA182D" w:rsidRPr="004F3B43" w14:paraId="4B5F7153" w14:textId="77777777" w:rsidTr="000601C7">
        <w:trPr>
          <w:jc w:val="center"/>
        </w:trPr>
        <w:tc>
          <w:tcPr>
            <w:tcW w:w="1129" w:type="pct"/>
            <w:gridSpan w:val="2"/>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2752E34" w14:textId="77777777" w:rsidR="00EA182D" w:rsidRPr="004F3B43" w:rsidRDefault="00EA182D" w:rsidP="000601C7">
            <w:pPr>
              <w:rPr>
                <w:rFonts w:ascii="Arial" w:hAnsi="Arial" w:cs="Arial"/>
                <w:b/>
                <w:color w:val="000000" w:themeColor="text1"/>
                <w:sz w:val="19"/>
                <w:szCs w:val="19"/>
              </w:rPr>
            </w:pPr>
          </w:p>
        </w:tc>
        <w:tc>
          <w:tcPr>
            <w:tcW w:w="2864"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747A63B8" w14:textId="77777777" w:rsidR="00EA182D" w:rsidRPr="004F3B43" w:rsidRDefault="00EA182D" w:rsidP="000601C7">
            <w:pPr>
              <w:rPr>
                <w:rFonts w:ascii="Arial" w:hAnsi="Arial" w:cs="Arial"/>
                <w:color w:val="000000" w:themeColor="text1"/>
                <w:sz w:val="19"/>
                <w:szCs w:val="19"/>
              </w:rPr>
            </w:pPr>
          </w:p>
        </w:tc>
        <w:tc>
          <w:tcPr>
            <w:tcW w:w="377"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16507A17" w14:textId="77777777" w:rsidR="00EA182D" w:rsidRPr="004F3B43" w:rsidRDefault="00EA182D" w:rsidP="000601C7">
            <w:pPr>
              <w:jc w:val="center"/>
              <w:rPr>
                <w:rFonts w:ascii="Arial" w:hAnsi="Arial" w:cs="Arial"/>
                <w:color w:val="000000" w:themeColor="text1"/>
                <w:sz w:val="19"/>
                <w:szCs w:val="19"/>
              </w:rPr>
            </w:pPr>
          </w:p>
        </w:tc>
        <w:tc>
          <w:tcPr>
            <w:tcW w:w="630"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28687BBB" w14:textId="77777777" w:rsidR="00EA182D" w:rsidRPr="004F3B43" w:rsidRDefault="00EA182D" w:rsidP="000601C7">
            <w:pPr>
              <w:jc w:val="center"/>
              <w:rPr>
                <w:rFonts w:ascii="Arial" w:hAnsi="Arial" w:cs="Arial"/>
                <w:color w:val="000000" w:themeColor="text1"/>
                <w:sz w:val="19"/>
                <w:szCs w:val="19"/>
              </w:rPr>
            </w:pPr>
          </w:p>
        </w:tc>
      </w:tr>
    </w:tbl>
    <w:p w14:paraId="278B666E" w14:textId="77777777" w:rsidR="00EA182D" w:rsidRPr="004F3B43" w:rsidRDefault="00EA182D" w:rsidP="00EA182D">
      <w:pPr>
        <w:spacing w:after="0" w:line="240" w:lineRule="auto"/>
        <w:jc w:val="both"/>
        <w:rPr>
          <w:rFonts w:ascii="Arial" w:eastAsia="Times New Roman" w:hAnsi="Arial" w:cs="Arial"/>
          <w:b/>
          <w:color w:val="000000" w:themeColor="text1"/>
          <w:sz w:val="19"/>
          <w:szCs w:val="19"/>
          <w:lang w:eastAsia="sk-SK"/>
        </w:rPr>
      </w:pPr>
      <w:r w:rsidRPr="004F3B43">
        <w:rPr>
          <w:rFonts w:ascii="Arial" w:eastAsia="Times New Roman" w:hAnsi="Arial" w:cs="Arial"/>
          <w:b/>
          <w:color w:val="000000" w:themeColor="text1"/>
          <w:sz w:val="19"/>
          <w:szCs w:val="19"/>
          <w:lang w:eastAsia="sk-SK"/>
        </w:rPr>
        <w:t xml:space="preserve">Na splnenie kritérií odborného hodnotenia musia byť vyhodnotené kladne všetky hodnotiace kritériá slovným hodnotením „áno“ V prípade, že i len jedno kritérium je vyhodnotené záporne slovným hodnotením „nie“, projekt je z ďalšieho procesu vylúčený. </w:t>
      </w:r>
    </w:p>
    <w:p w14:paraId="29E5454E" w14:textId="77777777" w:rsidR="00EA182D" w:rsidRPr="004F3B43" w:rsidRDefault="00EA182D" w:rsidP="00EA182D">
      <w:pPr>
        <w:spacing w:after="0" w:line="240" w:lineRule="auto"/>
        <w:jc w:val="both"/>
        <w:rPr>
          <w:rFonts w:ascii="Arial" w:eastAsia="Times New Roman" w:hAnsi="Arial" w:cs="Arial"/>
          <w:b/>
          <w:color w:val="000000" w:themeColor="text1"/>
          <w:sz w:val="19"/>
          <w:szCs w:val="19"/>
          <w:lang w:eastAsia="sk-SK"/>
        </w:rPr>
      </w:pPr>
    </w:p>
    <w:p w14:paraId="5BA095C7" w14:textId="77777777" w:rsidR="00EA182D" w:rsidRPr="004F3B43" w:rsidRDefault="00EA182D" w:rsidP="00EA182D">
      <w:pPr>
        <w:widowControl w:val="0"/>
        <w:spacing w:after="0" w:line="240" w:lineRule="auto"/>
        <w:ind w:right="1139"/>
        <w:jc w:val="both"/>
        <w:rPr>
          <w:rFonts w:ascii="Arial" w:eastAsia="Times New Roman" w:hAnsi="Arial" w:cs="Arial"/>
          <w:b/>
          <w:i/>
          <w:color w:val="000000" w:themeColor="text1"/>
          <w:sz w:val="20"/>
          <w:szCs w:val="20"/>
          <w:lang w:eastAsia="sk-SK"/>
        </w:rPr>
      </w:pPr>
      <w:r w:rsidRPr="004F3B43">
        <w:rPr>
          <w:rFonts w:ascii="Arial" w:eastAsia="Times New Roman" w:hAnsi="Arial" w:cs="Arial"/>
          <w:b/>
          <w:i/>
          <w:color w:val="000000" w:themeColor="text1"/>
          <w:sz w:val="20"/>
          <w:szCs w:val="20"/>
          <w:lang w:eastAsia="sk-SK"/>
        </w:rPr>
        <w:t>V prípade národného projektu sa rozlišovacie kritériá neaplikujú.</w:t>
      </w:r>
    </w:p>
    <w:p w14:paraId="74F88A58" w14:textId="77777777" w:rsidR="000E2782" w:rsidRDefault="000E2782"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B858FAF" w14:textId="027096AE"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sectPr w:rsidR="003A2756"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5E6FC" w14:textId="77777777" w:rsidR="00523D4E" w:rsidRDefault="00523D4E" w:rsidP="006447D5">
      <w:pPr>
        <w:spacing w:after="0" w:line="240" w:lineRule="auto"/>
      </w:pPr>
      <w:r>
        <w:separator/>
      </w:r>
    </w:p>
  </w:endnote>
  <w:endnote w:type="continuationSeparator" w:id="0">
    <w:p w14:paraId="2C60617B" w14:textId="77777777" w:rsidR="00523D4E" w:rsidRDefault="00523D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2DB" w14:textId="77777777" w:rsidR="006A2ACC" w:rsidRDefault="006A2AC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17313EA5" w:rsidR="008B1F42" w:rsidRDefault="009F59B5" w:rsidP="009F59B5">
        <w:pPr>
          <w:pStyle w:val="Pta"/>
        </w:pPr>
        <w:r w:rsidRPr="00BE7612">
          <w:rPr>
            <w:rFonts w:ascii="Arial" w:hAnsi="Arial" w:cs="Arial"/>
            <w:sz w:val="16"/>
            <w:szCs w:val="16"/>
          </w:rPr>
          <w:t xml:space="preserve">Príručka pre odborných hodnotiteľov IROP, verzia </w:t>
        </w:r>
        <w:r w:rsidR="007A6550">
          <w:rPr>
            <w:rFonts w:ascii="Arial" w:hAnsi="Arial" w:cs="Arial"/>
            <w:sz w:val="16"/>
            <w:szCs w:val="16"/>
          </w:rPr>
          <w:t>1</w:t>
        </w:r>
        <w:r w:rsidR="00044FAE">
          <w:rPr>
            <w:rFonts w:ascii="Arial" w:hAnsi="Arial" w:cs="Arial"/>
            <w:sz w:val="16"/>
            <w:szCs w:val="16"/>
          </w:rPr>
          <w:t>3.</w:t>
        </w:r>
        <w:r w:rsidR="006A2ACC">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F7F28" w14:textId="77777777" w:rsidR="00523D4E" w:rsidRDefault="00523D4E" w:rsidP="006447D5">
      <w:pPr>
        <w:spacing w:after="0" w:line="240" w:lineRule="auto"/>
      </w:pPr>
      <w:r>
        <w:separator/>
      </w:r>
    </w:p>
  </w:footnote>
  <w:footnote w:type="continuationSeparator" w:id="0">
    <w:p w14:paraId="4AD3A0AD" w14:textId="77777777" w:rsidR="00523D4E" w:rsidRDefault="00523D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7AC93" w14:textId="77777777" w:rsidR="006A2ACC" w:rsidRDefault="006A2AC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313F1" w14:textId="77777777" w:rsidR="006A2ACC" w:rsidRDefault="006A2AC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E7717"/>
    <w:multiLevelType w:val="hybridMultilevel"/>
    <w:tmpl w:val="007024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65A0C"/>
    <w:multiLevelType w:val="hybridMultilevel"/>
    <w:tmpl w:val="6C7EB37C"/>
    <w:lvl w:ilvl="0" w:tplc="041B0001">
      <w:start w:val="1"/>
      <w:numFmt w:val="bullet"/>
      <w:lvlText w:val=""/>
      <w:lvlJc w:val="left"/>
      <w:pPr>
        <w:ind w:left="720" w:hanging="360"/>
      </w:pPr>
      <w:rPr>
        <w:rFonts w:ascii="Symbol" w:hAnsi="Symbo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ACACE994"/>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
  </w:num>
  <w:num w:numId="5">
    <w:abstractNumId w:val="7"/>
  </w:num>
  <w:num w:numId="6">
    <w:abstractNumId w:val="5"/>
  </w:num>
  <w:num w:numId="7">
    <w:abstractNumId w:val="4"/>
  </w:num>
  <w:num w:numId="8">
    <w:abstractNumId w:val="0"/>
  </w:num>
  <w:num w:numId="9">
    <w:abstractNumId w:val="3"/>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4FAE"/>
    <w:rsid w:val="000466C5"/>
    <w:rsid w:val="00050C84"/>
    <w:rsid w:val="00053DF4"/>
    <w:rsid w:val="00055A2D"/>
    <w:rsid w:val="000579E5"/>
    <w:rsid w:val="00063B5B"/>
    <w:rsid w:val="0006402A"/>
    <w:rsid w:val="00064093"/>
    <w:rsid w:val="00064F31"/>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B5056"/>
    <w:rsid w:val="000C0810"/>
    <w:rsid w:val="000C159E"/>
    <w:rsid w:val="000D28B0"/>
    <w:rsid w:val="000D3F5F"/>
    <w:rsid w:val="000D7C4C"/>
    <w:rsid w:val="000E2782"/>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0793"/>
    <w:rsid w:val="00142FD9"/>
    <w:rsid w:val="001502C2"/>
    <w:rsid w:val="00150B3D"/>
    <w:rsid w:val="0015422F"/>
    <w:rsid w:val="001548DC"/>
    <w:rsid w:val="00160A59"/>
    <w:rsid w:val="00167E8F"/>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3753"/>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A2756"/>
    <w:rsid w:val="003B32AA"/>
    <w:rsid w:val="003B43CE"/>
    <w:rsid w:val="003C0029"/>
    <w:rsid w:val="003C19C2"/>
    <w:rsid w:val="003C1E0A"/>
    <w:rsid w:val="003C28AC"/>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125"/>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35632"/>
    <w:rsid w:val="00440986"/>
    <w:rsid w:val="00440A43"/>
    <w:rsid w:val="00442D84"/>
    <w:rsid w:val="00444C2E"/>
    <w:rsid w:val="00444FCC"/>
    <w:rsid w:val="0044548E"/>
    <w:rsid w:val="00445684"/>
    <w:rsid w:val="00445704"/>
    <w:rsid w:val="00447D47"/>
    <w:rsid w:val="00450852"/>
    <w:rsid w:val="00453E6F"/>
    <w:rsid w:val="00454BA6"/>
    <w:rsid w:val="00457071"/>
    <w:rsid w:val="004571AF"/>
    <w:rsid w:val="00460DA7"/>
    <w:rsid w:val="00461E72"/>
    <w:rsid w:val="00467B03"/>
    <w:rsid w:val="00471ECF"/>
    <w:rsid w:val="00480D9F"/>
    <w:rsid w:val="004847D3"/>
    <w:rsid w:val="0049086C"/>
    <w:rsid w:val="00492744"/>
    <w:rsid w:val="00492C48"/>
    <w:rsid w:val="00493914"/>
    <w:rsid w:val="00495768"/>
    <w:rsid w:val="0049638D"/>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3D4E"/>
    <w:rsid w:val="00524762"/>
    <w:rsid w:val="005268B1"/>
    <w:rsid w:val="00527195"/>
    <w:rsid w:val="005273A4"/>
    <w:rsid w:val="00533EDA"/>
    <w:rsid w:val="00534058"/>
    <w:rsid w:val="005347BB"/>
    <w:rsid w:val="00534E85"/>
    <w:rsid w:val="0054149D"/>
    <w:rsid w:val="00542F06"/>
    <w:rsid w:val="00543F2D"/>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4753"/>
    <w:rsid w:val="005E5F54"/>
    <w:rsid w:val="005F092D"/>
    <w:rsid w:val="005F10A6"/>
    <w:rsid w:val="005F6228"/>
    <w:rsid w:val="00600B81"/>
    <w:rsid w:val="006051BA"/>
    <w:rsid w:val="00610062"/>
    <w:rsid w:val="00611A9C"/>
    <w:rsid w:val="0061310C"/>
    <w:rsid w:val="00614351"/>
    <w:rsid w:val="00621A84"/>
    <w:rsid w:val="00623363"/>
    <w:rsid w:val="00625817"/>
    <w:rsid w:val="006269E0"/>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2ACC"/>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63FB"/>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550"/>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06A"/>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2387"/>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2F98"/>
    <w:rsid w:val="008B4A3B"/>
    <w:rsid w:val="008C045A"/>
    <w:rsid w:val="008C062F"/>
    <w:rsid w:val="008C3491"/>
    <w:rsid w:val="008D182A"/>
    <w:rsid w:val="008D1F55"/>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87C21"/>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4B1"/>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6958"/>
    <w:rsid w:val="00AA7B24"/>
    <w:rsid w:val="00AA7FE2"/>
    <w:rsid w:val="00AB1998"/>
    <w:rsid w:val="00AB3156"/>
    <w:rsid w:val="00AB37C1"/>
    <w:rsid w:val="00AB7C6D"/>
    <w:rsid w:val="00AB7D0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90B"/>
    <w:rsid w:val="00C72CF8"/>
    <w:rsid w:val="00C74E0E"/>
    <w:rsid w:val="00C765F0"/>
    <w:rsid w:val="00C76B16"/>
    <w:rsid w:val="00C7787D"/>
    <w:rsid w:val="00C80F70"/>
    <w:rsid w:val="00C83F7F"/>
    <w:rsid w:val="00C9162D"/>
    <w:rsid w:val="00C94B78"/>
    <w:rsid w:val="00C95BC8"/>
    <w:rsid w:val="00CA5E84"/>
    <w:rsid w:val="00CA5F8B"/>
    <w:rsid w:val="00CA69D7"/>
    <w:rsid w:val="00CA772C"/>
    <w:rsid w:val="00CB38E8"/>
    <w:rsid w:val="00CB4CDC"/>
    <w:rsid w:val="00CB6893"/>
    <w:rsid w:val="00CC24BF"/>
    <w:rsid w:val="00CC2F1B"/>
    <w:rsid w:val="00CC4336"/>
    <w:rsid w:val="00CD43AB"/>
    <w:rsid w:val="00CD5D6A"/>
    <w:rsid w:val="00CE1AFF"/>
    <w:rsid w:val="00CE65FF"/>
    <w:rsid w:val="00CF0753"/>
    <w:rsid w:val="00CF12B4"/>
    <w:rsid w:val="00CF1494"/>
    <w:rsid w:val="00CF2402"/>
    <w:rsid w:val="00CF33FB"/>
    <w:rsid w:val="00CF4836"/>
    <w:rsid w:val="00D05B26"/>
    <w:rsid w:val="00D06F22"/>
    <w:rsid w:val="00D07504"/>
    <w:rsid w:val="00D07E0F"/>
    <w:rsid w:val="00D1737B"/>
    <w:rsid w:val="00D2210A"/>
    <w:rsid w:val="00D24F71"/>
    <w:rsid w:val="00D278D6"/>
    <w:rsid w:val="00D30579"/>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2CD8"/>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182D"/>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549D"/>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 w:type="paragraph" w:styleId="Revzia">
    <w:name w:val="Revision"/>
    <w:hidden/>
    <w:uiPriority w:val="99"/>
    <w:semiHidden/>
    <w:rsid w:val="003A2756"/>
    <w:pPr>
      <w:spacing w:after="0" w:line="240" w:lineRule="auto"/>
    </w:pPr>
  </w:style>
  <w:style w:type="paragraph" w:customStyle="1" w:styleId="predvolen0">
    <w:name w:val="predvolen"/>
    <w:basedOn w:val="Normlny"/>
    <w:rsid w:val="00EA182D"/>
    <w:pPr>
      <w:spacing w:before="100" w:beforeAutospacing="1" w:after="100" w:afterAutospacing="1"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E6F35-258E-43F7-A812-6E15D667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3978</Words>
  <Characters>22678</Characters>
  <Application>Microsoft Office Word</Application>
  <DocSecurity>0</DocSecurity>
  <Lines>188</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26603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11</cp:revision>
  <cp:lastPrinted>2016-08-27T16:57:00Z</cp:lastPrinted>
  <dcterms:created xsi:type="dcterms:W3CDTF">2023-02-07T13:56:00Z</dcterms:created>
  <dcterms:modified xsi:type="dcterms:W3CDTF">2023-11-24T13:26:00Z</dcterms:modified>
</cp:coreProperties>
</file>